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A51B241" w14:textId="60D9666C" w:rsidR="00044491" w:rsidRPr="00941F23" w:rsidRDefault="00044491" w:rsidP="00B45BE4">
      <w:pPr>
        <w:rPr>
          <w:sz w:val="6"/>
          <w:szCs w:val="6"/>
        </w:rPr>
      </w:pPr>
      <w:bookmarkStart w:id="0" w:name="_GoBack"/>
      <w:bookmarkEnd w:id="0"/>
    </w:p>
    <w:p>
      <w:pPr>
        <w:pStyle w:val="Heading1"/>
      </w:pPr>
      <w:r>
        <w:t>Appendix for Model 03060102</w:t>
      </w:r>
    </w:p>
    <w:p>
      <w:r>
        <w:br w:type="page"/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060102_NLCD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03060102-1: Land Cover from the National Land Cover Database.</w:t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land_cal03060102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03060102-2: Calibrated sub-watersheds.</w:t>
      </w:r>
    </w:p>
    <w:p>
      <w:r>
        <w:drawing>
          <wp:inline xmlns:a="http://schemas.openxmlformats.org/drawingml/2006/main" xmlns:pic="http://schemas.openxmlformats.org/drawingml/2006/picture">
            <wp:extent cx="4428000" cy="73800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060102_gantt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28000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03060102-3: Station period of record.  Blue color identifies gauges used for calibration.</w:t>
      </w:r>
    </w:p>
    <w:p>
      <w:pPr>
        <w:pStyle w:val="Heading2"/>
      </w:pPr>
      <w:r>
        <w:t>HSPF Reach 01, USGS Gauge 02176930</w:t>
      </w:r>
    </w:p>
    <w:p>
      <w:pPr>
        <w:pStyle w:val="Caption-Table"/>
      </w:pPr>
      <w:r>
        <w:t>Table 03060102-1: Comparison Statistics Between HSPF Reach 01 and USGS Gauge 02176930.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-46.41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75.97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-0.22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0.50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0.75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0.56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0.77</w:t>
            </w:r>
          </w:p>
        </w:tc>
      </w:tr>
    </w:tbl>
    <w:p>
      <w:pPr>
        <w:pStyle w:val="Caption-Table"/>
      </w:pPr>
      <w:r>
        <w:t>Table 03060102-2: Hydrologic Indices Between USGS Gauge 02176930 and HSPF Reach 01.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02176930</w:t>
            </w:r>
          </w:p>
        </w:tc>
        <w:tc>
          <w:tcPr>
            <w:tcW w:type="dxa" w:w="2340"/>
          </w:tcPr>
          <w:p>
            <w:r>
              <w:t>Simulated</w:t>
              <w:br/>
              <w:t>Reach 01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201.27</w:t>
            </w:r>
          </w:p>
        </w:tc>
        <w:tc>
          <w:tcPr>
            <w:tcW w:type="dxa" w:w="2340"/>
          </w:tcPr>
          <w:p>
            <w:r>
              <w:t xml:space="preserve">  153.46</w:t>
            </w:r>
          </w:p>
        </w:tc>
        <w:tc>
          <w:tcPr>
            <w:tcW w:type="dxa" w:w="2340"/>
          </w:tcPr>
          <w:p>
            <w:r>
              <w:t xml:space="preserve">  -23.75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132.00</w:t>
            </w:r>
          </w:p>
        </w:tc>
        <w:tc>
          <w:tcPr>
            <w:tcW w:type="dxa" w:w="2340"/>
          </w:tcPr>
          <w:p>
            <w:r>
              <w:t xml:space="preserve">  106.43</w:t>
            </w:r>
          </w:p>
        </w:tc>
        <w:tc>
          <w:tcPr>
            <w:tcW w:type="dxa" w:w="2340"/>
          </w:tcPr>
          <w:p>
            <w:r>
              <w:t xml:space="preserve">  -19.37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145.17</w:t>
            </w:r>
          </w:p>
        </w:tc>
        <w:tc>
          <w:tcPr>
            <w:tcW w:type="dxa" w:w="2340"/>
          </w:tcPr>
          <w:p>
            <w:r>
              <w:t xml:space="preserve">  135.89</w:t>
            </w:r>
          </w:p>
        </w:tc>
        <w:tc>
          <w:tcPr>
            <w:tcW w:type="dxa" w:w="2340"/>
          </w:tcPr>
          <w:p>
            <w:r>
              <w:t xml:space="preserve">   -6.40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78.09</w:t>
            </w:r>
          </w:p>
        </w:tc>
        <w:tc>
          <w:tcPr>
            <w:tcW w:type="dxa" w:w="2340"/>
          </w:tcPr>
          <w:p>
            <w:r>
              <w:t xml:space="preserve">   67.62</w:t>
            </w:r>
          </w:p>
        </w:tc>
        <w:tc>
          <w:tcPr>
            <w:tcW w:type="dxa" w:w="2340"/>
          </w:tcPr>
          <w:p>
            <w:r>
              <w:t xml:space="preserve">  -13.41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1.52</w:t>
            </w:r>
          </w:p>
        </w:tc>
        <w:tc>
          <w:tcPr>
            <w:tcW w:type="dxa" w:w="2340"/>
          </w:tcPr>
          <w:p>
            <w:r>
              <w:t xml:space="preserve">    1.44</w:t>
            </w:r>
          </w:p>
        </w:tc>
        <w:tc>
          <w:tcPr>
            <w:tcW w:type="dxa" w:w="2340"/>
          </w:tcPr>
          <w:p>
            <w:r>
              <w:t xml:space="preserve">   -5.43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2.45</w:t>
            </w:r>
          </w:p>
        </w:tc>
        <w:tc>
          <w:tcPr>
            <w:tcW w:type="dxa" w:w="2340"/>
          </w:tcPr>
          <w:p>
            <w:r>
              <w:t xml:space="preserve">    2.28</w:t>
            </w:r>
          </w:p>
        </w:tc>
        <w:tc>
          <w:tcPr>
            <w:tcW w:type="dxa" w:w="2340"/>
          </w:tcPr>
          <w:p>
            <w:r>
              <w:t xml:space="preserve">   -7.24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1.42</w:t>
            </w:r>
          </w:p>
        </w:tc>
        <w:tc>
          <w:tcPr>
            <w:tcW w:type="dxa" w:w="2340"/>
          </w:tcPr>
          <w:p>
            <w:r>
              <w:t xml:space="preserve">    1.34</w:t>
            </w:r>
          </w:p>
        </w:tc>
        <w:tc>
          <w:tcPr>
            <w:tcW w:type="dxa" w:w="2340"/>
          </w:tcPr>
          <w:p>
            <w:r>
              <w:t xml:space="preserve">   -5.73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1.13</w:t>
            </w:r>
          </w:p>
        </w:tc>
        <w:tc>
          <w:tcPr>
            <w:tcW w:type="dxa" w:w="2340"/>
          </w:tcPr>
          <w:p>
            <w:r>
              <w:t xml:space="preserve">    1.10</w:t>
            </w:r>
          </w:p>
        </w:tc>
        <w:tc>
          <w:tcPr>
            <w:tcW w:type="dxa" w:w="2340"/>
          </w:tcPr>
          <w:p>
            <w:r>
              <w:t xml:space="preserve">   -2.18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229.63</w:t>
            </w:r>
          </w:p>
        </w:tc>
        <w:tc>
          <w:tcPr>
            <w:tcW w:type="dxa" w:w="2340"/>
          </w:tcPr>
          <w:p>
            <w:r>
              <w:t xml:space="preserve">  187.51</w:t>
            </w:r>
          </w:p>
        </w:tc>
        <w:tc>
          <w:tcPr>
            <w:tcW w:type="dxa" w:w="2340"/>
          </w:tcPr>
          <w:p>
            <w:r>
              <w:t xml:space="preserve">  -18.34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154.79</w:t>
            </w:r>
          </w:p>
        </w:tc>
        <w:tc>
          <w:tcPr>
            <w:tcW w:type="dxa" w:w="2340"/>
          </w:tcPr>
          <w:p>
            <w:r>
              <w:t xml:space="preserve">  133.35</w:t>
            </w:r>
          </w:p>
        </w:tc>
        <w:tc>
          <w:tcPr>
            <w:tcW w:type="dxa" w:w="2340"/>
          </w:tcPr>
          <w:p>
            <w:r>
              <w:t xml:space="preserve">  -13.85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163.30</w:t>
            </w:r>
          </w:p>
        </w:tc>
        <w:tc>
          <w:tcPr>
            <w:tcW w:type="dxa" w:w="2340"/>
          </w:tcPr>
          <w:p>
            <w:r>
              <w:t xml:space="preserve">  120.78</w:t>
            </w:r>
          </w:p>
        </w:tc>
        <w:tc>
          <w:tcPr>
            <w:tcW w:type="dxa" w:w="2340"/>
          </w:tcPr>
          <w:p>
            <w:r>
              <w:t xml:space="preserve">  -26.04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152.51</w:t>
            </w:r>
          </w:p>
        </w:tc>
        <w:tc>
          <w:tcPr>
            <w:tcW w:type="dxa" w:w="2340"/>
          </w:tcPr>
          <w:p>
            <w:r>
              <w:t xml:space="preserve">  107.39</w:t>
            </w:r>
          </w:p>
        </w:tc>
        <w:tc>
          <w:tcPr>
            <w:tcW w:type="dxa" w:w="2340"/>
          </w:tcPr>
          <w:p>
            <w:r>
              <w:t xml:space="preserve">  -29.58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140.05</w:t>
            </w:r>
          </w:p>
        </w:tc>
        <w:tc>
          <w:tcPr>
            <w:tcW w:type="dxa" w:w="2340"/>
          </w:tcPr>
          <w:p>
            <w:r>
              <w:t xml:space="preserve">   92.64</w:t>
            </w:r>
          </w:p>
        </w:tc>
        <w:tc>
          <w:tcPr>
            <w:tcW w:type="dxa" w:w="2340"/>
          </w:tcPr>
          <w:p>
            <w:r>
              <w:t xml:space="preserve">  -33.85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94.04</w:t>
            </w:r>
          </w:p>
        </w:tc>
        <w:tc>
          <w:tcPr>
            <w:tcW w:type="dxa" w:w="2340"/>
          </w:tcPr>
          <w:p>
            <w:r>
              <w:t xml:space="preserve">   77.43</w:t>
            </w:r>
          </w:p>
        </w:tc>
        <w:tc>
          <w:tcPr>
            <w:tcW w:type="dxa" w:w="2340"/>
          </w:tcPr>
          <w:p>
            <w:r>
              <w:t xml:space="preserve">  -17.67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176.79</w:t>
            </w:r>
          </w:p>
        </w:tc>
        <w:tc>
          <w:tcPr>
            <w:tcW w:type="dxa" w:w="2340"/>
          </w:tcPr>
          <w:p>
            <w:r>
              <w:t xml:space="preserve">  112.84</w:t>
            </w:r>
          </w:p>
        </w:tc>
        <w:tc>
          <w:tcPr>
            <w:tcW w:type="dxa" w:w="2340"/>
          </w:tcPr>
          <w:p>
            <w:r>
              <w:t xml:space="preserve">  -36.18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75.94</w:t>
            </w:r>
          </w:p>
        </w:tc>
        <w:tc>
          <w:tcPr>
            <w:tcW w:type="dxa" w:w="2340"/>
          </w:tcPr>
          <w:p>
            <w:r>
              <w:t xml:space="preserve">   56.81</w:t>
            </w:r>
          </w:p>
        </w:tc>
        <w:tc>
          <w:tcPr>
            <w:tcW w:type="dxa" w:w="2340"/>
          </w:tcPr>
          <w:p>
            <w:r>
              <w:t xml:space="preserve">  -25.20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180.81</w:t>
            </w:r>
          </w:p>
        </w:tc>
        <w:tc>
          <w:tcPr>
            <w:tcW w:type="dxa" w:w="2340"/>
          </w:tcPr>
          <w:p>
            <w:r>
              <w:t xml:space="preserve">  163.98</w:t>
            </w:r>
          </w:p>
        </w:tc>
        <w:tc>
          <w:tcPr>
            <w:tcW w:type="dxa" w:w="2340"/>
          </w:tcPr>
          <w:p>
            <w:r>
              <w:t xml:space="preserve">   -9.31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99.58</w:t>
            </w:r>
          </w:p>
        </w:tc>
        <w:tc>
          <w:tcPr>
            <w:tcW w:type="dxa" w:w="2340"/>
          </w:tcPr>
          <w:p>
            <w:r>
              <w:t xml:space="preserve">   88.29</w:t>
            </w:r>
          </w:p>
        </w:tc>
        <w:tc>
          <w:tcPr>
            <w:tcW w:type="dxa" w:w="2340"/>
          </w:tcPr>
          <w:p>
            <w:r>
              <w:t xml:space="preserve">  -11.33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131.95</w:t>
            </w:r>
          </w:p>
        </w:tc>
        <w:tc>
          <w:tcPr>
            <w:tcW w:type="dxa" w:w="2340"/>
          </w:tcPr>
          <w:p>
            <w:r>
              <w:t xml:space="preserve">  103.51</w:t>
            </w:r>
          </w:p>
        </w:tc>
        <w:tc>
          <w:tcPr>
            <w:tcW w:type="dxa" w:w="2340"/>
          </w:tcPr>
          <w:p>
            <w:r>
              <w:t xml:space="preserve">  -21.56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235.24</w:t>
            </w:r>
          </w:p>
        </w:tc>
        <w:tc>
          <w:tcPr>
            <w:tcW w:type="dxa" w:w="2340"/>
          </w:tcPr>
          <w:p>
            <w:r>
              <w:t xml:space="preserve">  180.16</w:t>
            </w:r>
          </w:p>
        </w:tc>
        <w:tc>
          <w:tcPr>
            <w:tcW w:type="dxa" w:w="2340"/>
          </w:tcPr>
          <w:p>
            <w:r>
              <w:t xml:space="preserve">  -23.42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151.40</w:t>
            </w:r>
          </w:p>
        </w:tc>
        <w:tc>
          <w:tcPr>
            <w:tcW w:type="dxa" w:w="2340"/>
          </w:tcPr>
          <w:p>
            <w:r>
              <w:t xml:space="preserve">  138.25</w:t>
            </w:r>
          </w:p>
        </w:tc>
        <w:tc>
          <w:tcPr>
            <w:tcW w:type="dxa" w:w="2340"/>
          </w:tcPr>
          <w:p>
            <w:r>
              <w:t xml:space="preserve">   -8.69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138.00</w:t>
            </w:r>
          </w:p>
        </w:tc>
        <w:tc>
          <w:tcPr>
            <w:tcW w:type="dxa" w:w="2340"/>
          </w:tcPr>
          <w:p>
            <w:r>
              <w:t xml:space="preserve">  129.65</w:t>
            </w:r>
          </w:p>
        </w:tc>
        <w:tc>
          <w:tcPr>
            <w:tcW w:type="dxa" w:w="2340"/>
          </w:tcPr>
          <w:p>
            <w:r>
              <w:t xml:space="preserve">   -6.05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128.25</w:t>
            </w:r>
          </w:p>
        </w:tc>
        <w:tc>
          <w:tcPr>
            <w:tcW w:type="dxa" w:w="2340"/>
          </w:tcPr>
          <w:p>
            <w:r>
              <w:t xml:space="preserve">  119.60</w:t>
            </w:r>
          </w:p>
        </w:tc>
        <w:tc>
          <w:tcPr>
            <w:tcW w:type="dxa" w:w="2340"/>
          </w:tcPr>
          <w:p>
            <w:r>
              <w:t xml:space="preserve">   -6.74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123.50</w:t>
            </w:r>
          </w:p>
        </w:tc>
        <w:tc>
          <w:tcPr>
            <w:tcW w:type="dxa" w:w="2340"/>
          </w:tcPr>
          <w:p>
            <w:r>
              <w:t xml:space="preserve">  119.46</w:t>
            </w:r>
          </w:p>
        </w:tc>
        <w:tc>
          <w:tcPr>
            <w:tcW w:type="dxa" w:w="2340"/>
          </w:tcPr>
          <w:p>
            <w:r>
              <w:t xml:space="preserve">   -3.27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111.25</w:t>
            </w:r>
          </w:p>
        </w:tc>
        <w:tc>
          <w:tcPr>
            <w:tcW w:type="dxa" w:w="2340"/>
          </w:tcPr>
          <w:p>
            <w:r>
              <w:t xml:space="preserve">  107.40</w:t>
            </w:r>
          </w:p>
        </w:tc>
        <w:tc>
          <w:tcPr>
            <w:tcW w:type="dxa" w:w="2340"/>
          </w:tcPr>
          <w:p>
            <w:r>
              <w:t xml:space="preserve">   -3.46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82.00</w:t>
            </w:r>
          </w:p>
        </w:tc>
        <w:tc>
          <w:tcPr>
            <w:tcW w:type="dxa" w:w="2340"/>
          </w:tcPr>
          <w:p>
            <w:r>
              <w:t xml:space="preserve">   91.73</w:t>
            </w:r>
          </w:p>
        </w:tc>
        <w:tc>
          <w:tcPr>
            <w:tcW w:type="dxa" w:w="2340"/>
          </w:tcPr>
          <w:p>
            <w:r>
              <w:t xml:space="preserve">   11.86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104.00</w:t>
            </w:r>
          </w:p>
        </w:tc>
        <w:tc>
          <w:tcPr>
            <w:tcW w:type="dxa" w:w="2340"/>
          </w:tcPr>
          <w:p>
            <w:r>
              <w:t xml:space="preserve">   94.40</w:t>
            </w:r>
          </w:p>
        </w:tc>
        <w:tc>
          <w:tcPr>
            <w:tcW w:type="dxa" w:w="2340"/>
          </w:tcPr>
          <w:p>
            <w:r>
              <w:t xml:space="preserve">   -9.23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68.00</w:t>
            </w:r>
          </w:p>
        </w:tc>
        <w:tc>
          <w:tcPr>
            <w:tcW w:type="dxa" w:w="2340"/>
          </w:tcPr>
          <w:p>
            <w:r>
              <w:t xml:space="preserve">   69.60</w:t>
            </w:r>
          </w:p>
        </w:tc>
        <w:tc>
          <w:tcPr>
            <w:tcW w:type="dxa" w:w="2340"/>
          </w:tcPr>
          <w:p>
            <w:r>
              <w:t xml:space="preserve">    2.35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56.80</w:t>
            </w:r>
          </w:p>
        </w:tc>
        <w:tc>
          <w:tcPr>
            <w:tcW w:type="dxa" w:w="2340"/>
          </w:tcPr>
          <w:p>
            <w:r>
              <w:t xml:space="preserve">   55.12</w:t>
            </w:r>
          </w:p>
        </w:tc>
        <w:tc>
          <w:tcPr>
            <w:tcW w:type="dxa" w:w="2340"/>
          </w:tcPr>
          <w:p>
            <w:r>
              <w:t xml:space="preserve">   -2.96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68.20</w:t>
            </w:r>
          </w:p>
        </w:tc>
        <w:tc>
          <w:tcPr>
            <w:tcW w:type="dxa" w:w="2340"/>
          </w:tcPr>
          <w:p>
            <w:r>
              <w:t xml:space="preserve">   77.37</w:t>
            </w:r>
          </w:p>
        </w:tc>
        <w:tc>
          <w:tcPr>
            <w:tcW w:type="dxa" w:w="2340"/>
          </w:tcPr>
          <w:p>
            <w:r>
              <w:t xml:space="preserve">   13.44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75.40</w:t>
            </w:r>
          </w:p>
        </w:tc>
        <w:tc>
          <w:tcPr>
            <w:tcW w:type="dxa" w:w="2340"/>
          </w:tcPr>
          <w:p>
            <w:r>
              <w:t xml:space="preserve">   78.31</w:t>
            </w:r>
          </w:p>
        </w:tc>
        <w:tc>
          <w:tcPr>
            <w:tcW w:type="dxa" w:w="2340"/>
          </w:tcPr>
          <w:p>
            <w:r>
              <w:t xml:space="preserve">    3.85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107.60</w:t>
            </w:r>
          </w:p>
        </w:tc>
        <w:tc>
          <w:tcPr>
            <w:tcW w:type="dxa" w:w="2340"/>
          </w:tcPr>
          <w:p>
            <w:r>
              <w:t xml:space="preserve">  102.80</w:t>
            </w:r>
          </w:p>
        </w:tc>
        <w:tc>
          <w:tcPr>
            <w:tcW w:type="dxa" w:w="2340"/>
          </w:tcPr>
          <w:p>
            <w:r>
              <w:t xml:space="preserve">   -4.46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57.15</w:t>
            </w:r>
          </w:p>
        </w:tc>
        <w:tc>
          <w:tcPr>
            <w:tcW w:type="dxa" w:w="2340"/>
          </w:tcPr>
          <w:p>
            <w:r>
              <w:t xml:space="preserve">   54.65</w:t>
            </w:r>
          </w:p>
        </w:tc>
        <w:tc>
          <w:tcPr>
            <w:tcW w:type="dxa" w:w="2340"/>
          </w:tcPr>
          <w:p>
            <w:r>
              <w:t xml:space="preserve">   -4.38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>
              <w:t xml:space="preserve">    0.36</w:t>
            </w:r>
          </w:p>
        </w:tc>
        <w:tc>
          <w:tcPr>
            <w:tcW w:type="dxa" w:w="2340"/>
          </w:tcPr>
          <w:p>
            <w:r>
              <w:t xml:space="preserve">   14.18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0.18</w:t>
            </w:r>
          </w:p>
        </w:tc>
        <w:tc>
          <w:tcPr>
            <w:tcW w:type="dxa" w:w="2340"/>
          </w:tcPr>
          <w:p>
            <w:r>
              <w:t xml:space="preserve">    0.26</w:t>
            </w:r>
          </w:p>
        </w:tc>
        <w:tc>
          <w:tcPr>
            <w:tcW w:type="dxa" w:w="2340"/>
          </w:tcPr>
          <w:p>
            <w:r>
              <w:t xml:space="preserve">   40.76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0.27</w:t>
            </w:r>
          </w:p>
        </w:tc>
        <w:tc>
          <w:tcPr>
            <w:tcW w:type="dxa" w:w="2340"/>
          </w:tcPr>
          <w:p>
            <w:r>
              <w:t xml:space="preserve">    0.32</w:t>
            </w:r>
          </w:p>
        </w:tc>
        <w:tc>
          <w:tcPr>
            <w:tcW w:type="dxa" w:w="2340"/>
          </w:tcPr>
          <w:p>
            <w:r>
              <w:t xml:space="preserve">   21.43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0.57</w:t>
            </w:r>
          </w:p>
        </w:tc>
        <w:tc>
          <w:tcPr>
            <w:tcW w:type="dxa" w:w="2340"/>
          </w:tcPr>
          <w:p>
            <w:r>
              <w:t xml:space="preserve">    0.71</w:t>
            </w:r>
          </w:p>
        </w:tc>
        <w:tc>
          <w:tcPr>
            <w:tcW w:type="dxa" w:w="2340"/>
          </w:tcPr>
          <w:p>
            <w:r>
              <w:t xml:space="preserve">   25.33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0.45</w:t>
            </w:r>
          </w:p>
        </w:tc>
        <w:tc>
          <w:tcPr>
            <w:tcW w:type="dxa" w:w="2340"/>
          </w:tcPr>
          <w:p>
            <w:r>
              <w:t xml:space="preserve">    0.45</w:t>
            </w:r>
          </w:p>
        </w:tc>
        <w:tc>
          <w:tcPr>
            <w:tcW w:type="dxa" w:w="2340"/>
          </w:tcPr>
          <w:p>
            <w:r>
              <w:t xml:space="preserve">   -0.54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134.26</w:t>
            </w:r>
          </w:p>
        </w:tc>
        <w:tc>
          <w:tcPr>
            <w:tcW w:type="dxa" w:w="2340"/>
          </w:tcPr>
          <w:p>
            <w:r>
              <w:t xml:space="preserve">   79.67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216.22</w:t>
            </w:r>
          </w:p>
        </w:tc>
        <w:tc>
          <w:tcPr>
            <w:tcW w:type="dxa" w:w="2340"/>
          </w:tcPr>
          <w:p>
            <w:r>
              <w:t xml:space="preserve">  208.93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43.32</w:t>
            </w:r>
          </w:p>
        </w:tc>
        <w:tc>
          <w:tcPr>
            <w:tcW w:type="dxa" w:w="2340"/>
          </w:tcPr>
          <w:p>
            <w:r>
              <w:t xml:space="preserve">   15.85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260.64</w:t>
            </w:r>
          </w:p>
        </w:tc>
        <w:tc>
          <w:tcPr>
            <w:tcW w:type="dxa" w:w="2340"/>
          </w:tcPr>
          <w:p>
            <w:r>
              <w:t xml:space="preserve">  284.36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0.24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0.18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76.83</w:t>
            </w:r>
          </w:p>
        </w:tc>
        <w:tc>
          <w:tcPr>
            <w:tcW w:type="dxa" w:w="2340"/>
          </w:tcPr>
          <w:p>
            <w:r>
              <w:t xml:space="preserve">   54.83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64.33</w:t>
            </w:r>
          </w:p>
        </w:tc>
        <w:tc>
          <w:tcPr>
            <w:tcW w:type="dxa" w:w="2340"/>
          </w:tcPr>
          <w:p>
            <w:r>
              <w:t xml:space="preserve">   62.17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1_02176930_daily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03060102-4: Daily flow for HSFP reach 01 and USGS station 02176930.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1_02176930_daily_fdc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03060102-5: Daily exceedance for HSFP reach 01 and USGS station 02176930.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1_02176930_monthly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03060102-6: Monthly flow for HSFP reach 01 and USGS station 02176930.</w:t>
      </w:r>
    </w:p>
    <w:p>
      <w:pPr>
        <w:pStyle w:val="Heading2"/>
      </w:pPr>
      <w:r>
        <w:t>HSPF Reach 09, USGS Gauge 02182000</w:t>
      </w:r>
    </w:p>
    <w:p>
      <w:pPr>
        <w:pStyle w:val="Caption-Table"/>
      </w:pPr>
      <w:r>
        <w:t>Table 03060102-3: Comparison Statistics Between HSPF Reach 09 and USGS Gauge 02182000.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15.65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23.30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0.30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0.56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0.68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0.48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0.76</w:t>
            </w:r>
          </w:p>
        </w:tc>
      </w:tr>
    </w:tbl>
    <w:p>
      <w:pPr>
        <w:pStyle w:val="Caption-Table"/>
      </w:pPr>
      <w:r>
        <w:t>Table 03060102-4: Hydrologic Indices Between USGS Gauge 02182000 and HSPF Reach 09.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02182000</w:t>
            </w:r>
          </w:p>
        </w:tc>
        <w:tc>
          <w:tcPr>
            <w:tcW w:type="dxa" w:w="2340"/>
          </w:tcPr>
          <w:p>
            <w:r>
              <w:t>Simulated</w:t>
              <w:br/>
              <w:t>Reach 09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 52.08</w:t>
            </w:r>
          </w:p>
        </w:tc>
        <w:tc>
          <w:tcPr>
            <w:tcW w:type="dxa" w:w="2340"/>
          </w:tcPr>
          <w:p>
            <w:r>
              <w:t xml:space="preserve">   67.35</w:t>
            </w:r>
          </w:p>
        </w:tc>
        <w:tc>
          <w:tcPr>
            <w:tcW w:type="dxa" w:w="2340"/>
          </w:tcPr>
          <w:p>
            <w:r>
              <w:t xml:space="preserve">   29.31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33.00</w:t>
            </w:r>
          </w:p>
        </w:tc>
        <w:tc>
          <w:tcPr>
            <w:tcW w:type="dxa" w:w="2340"/>
          </w:tcPr>
          <w:p>
            <w:r>
              <w:t xml:space="preserve">   49.78</w:t>
            </w:r>
          </w:p>
        </w:tc>
        <w:tc>
          <w:tcPr>
            <w:tcW w:type="dxa" w:w="2340"/>
          </w:tcPr>
          <w:p>
            <w:r>
              <w:t xml:space="preserve">   50.84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74.95</w:t>
            </w:r>
          </w:p>
        </w:tc>
        <w:tc>
          <w:tcPr>
            <w:tcW w:type="dxa" w:w="2340"/>
          </w:tcPr>
          <w:p>
            <w:r>
              <w:t xml:space="preserve">   72.85</w:t>
            </w:r>
          </w:p>
        </w:tc>
        <w:tc>
          <w:tcPr>
            <w:tcW w:type="dxa" w:w="2340"/>
          </w:tcPr>
          <w:p>
            <w:r>
              <w:t xml:space="preserve">   -2.80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77.21</w:t>
            </w:r>
          </w:p>
        </w:tc>
        <w:tc>
          <w:tcPr>
            <w:tcW w:type="dxa" w:w="2340"/>
          </w:tcPr>
          <w:p>
            <w:r>
              <w:t xml:space="preserve">   74.07</w:t>
            </w:r>
          </w:p>
        </w:tc>
        <w:tc>
          <w:tcPr>
            <w:tcW w:type="dxa" w:w="2340"/>
          </w:tcPr>
          <w:p>
            <w:r>
              <w:t xml:space="preserve">   -4.07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1.58</w:t>
            </w:r>
          </w:p>
        </w:tc>
        <w:tc>
          <w:tcPr>
            <w:tcW w:type="dxa" w:w="2340"/>
          </w:tcPr>
          <w:p>
            <w:r>
              <w:t xml:space="preserve">    1.35</w:t>
            </w:r>
          </w:p>
        </w:tc>
        <w:tc>
          <w:tcPr>
            <w:tcW w:type="dxa" w:w="2340"/>
          </w:tcPr>
          <w:p>
            <w:r>
              <w:t xml:space="preserve">  -14.27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3.03</w:t>
            </w:r>
          </w:p>
        </w:tc>
        <w:tc>
          <w:tcPr>
            <w:tcW w:type="dxa" w:w="2340"/>
          </w:tcPr>
          <w:p>
            <w:r>
              <w:t xml:space="preserve">    2.58</w:t>
            </w:r>
          </w:p>
        </w:tc>
        <w:tc>
          <w:tcPr>
            <w:tcW w:type="dxa" w:w="2340"/>
          </w:tcPr>
          <w:p>
            <w:r>
              <w:t xml:space="preserve">  -14.95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1.82</w:t>
            </w:r>
          </w:p>
        </w:tc>
        <w:tc>
          <w:tcPr>
            <w:tcW w:type="dxa" w:w="2340"/>
          </w:tcPr>
          <w:p>
            <w:r>
              <w:t xml:space="preserve">    1.56</w:t>
            </w:r>
          </w:p>
        </w:tc>
        <w:tc>
          <w:tcPr>
            <w:tcW w:type="dxa" w:w="2340"/>
          </w:tcPr>
          <w:p>
            <w:r>
              <w:t xml:space="preserve">  -14.30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1.44</w:t>
            </w:r>
          </w:p>
        </w:tc>
        <w:tc>
          <w:tcPr>
            <w:tcW w:type="dxa" w:w="2340"/>
          </w:tcPr>
          <w:p>
            <w:r>
              <w:t xml:space="preserve">    1.15</w:t>
            </w:r>
          </w:p>
        </w:tc>
        <w:tc>
          <w:tcPr>
            <w:tcW w:type="dxa" w:w="2340"/>
          </w:tcPr>
          <w:p>
            <w:r>
              <w:t xml:space="preserve">  -20.32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 65.83</w:t>
            </w:r>
          </w:p>
        </w:tc>
        <w:tc>
          <w:tcPr>
            <w:tcW w:type="dxa" w:w="2340"/>
          </w:tcPr>
          <w:p>
            <w:r>
              <w:t xml:space="preserve">   94.80</w:t>
            </w:r>
          </w:p>
        </w:tc>
        <w:tc>
          <w:tcPr>
            <w:tcW w:type="dxa" w:w="2340"/>
          </w:tcPr>
          <w:p>
            <w:r>
              <w:t xml:space="preserve">   44.00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 59.79</w:t>
            </w:r>
          </w:p>
        </w:tc>
        <w:tc>
          <w:tcPr>
            <w:tcW w:type="dxa" w:w="2340"/>
          </w:tcPr>
          <w:p>
            <w:r>
              <w:t xml:space="preserve">   78.36</w:t>
            </w:r>
          </w:p>
        </w:tc>
        <w:tc>
          <w:tcPr>
            <w:tcW w:type="dxa" w:w="2340"/>
          </w:tcPr>
          <w:p>
            <w:r>
              <w:t xml:space="preserve">   31.04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 68.21</w:t>
            </w:r>
          </w:p>
        </w:tc>
        <w:tc>
          <w:tcPr>
            <w:tcW w:type="dxa" w:w="2340"/>
          </w:tcPr>
          <w:p>
            <w:r>
              <w:t xml:space="preserve">   86.52</w:t>
            </w:r>
          </w:p>
        </w:tc>
        <w:tc>
          <w:tcPr>
            <w:tcW w:type="dxa" w:w="2340"/>
          </w:tcPr>
          <w:p>
            <w:r>
              <w:t xml:space="preserve">   26.85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 52.19</w:t>
            </w:r>
          </w:p>
        </w:tc>
        <w:tc>
          <w:tcPr>
            <w:tcW w:type="dxa" w:w="2340"/>
          </w:tcPr>
          <w:p>
            <w:r>
              <w:t xml:space="preserve">   64.69</w:t>
            </w:r>
          </w:p>
        </w:tc>
        <w:tc>
          <w:tcPr>
            <w:tcW w:type="dxa" w:w="2340"/>
          </w:tcPr>
          <w:p>
            <w:r>
              <w:t xml:space="preserve">   23.96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39.61</w:t>
            </w:r>
          </w:p>
        </w:tc>
        <w:tc>
          <w:tcPr>
            <w:tcW w:type="dxa" w:w="2340"/>
          </w:tcPr>
          <w:p>
            <w:r>
              <w:t xml:space="preserve">   47.27</w:t>
            </w:r>
          </w:p>
        </w:tc>
        <w:tc>
          <w:tcPr>
            <w:tcW w:type="dxa" w:w="2340"/>
          </w:tcPr>
          <w:p>
            <w:r>
              <w:t xml:space="preserve">   19.34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32.84</w:t>
            </w:r>
          </w:p>
        </w:tc>
        <w:tc>
          <w:tcPr>
            <w:tcW w:type="dxa" w:w="2340"/>
          </w:tcPr>
          <w:p>
            <w:r>
              <w:t xml:space="preserve">   36.36</w:t>
            </w:r>
          </w:p>
        </w:tc>
        <w:tc>
          <w:tcPr>
            <w:tcW w:type="dxa" w:w="2340"/>
          </w:tcPr>
          <w:p>
            <w:r>
              <w:t xml:space="preserve">   10.71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21.65</w:t>
            </w:r>
          </w:p>
        </w:tc>
        <w:tc>
          <w:tcPr>
            <w:tcW w:type="dxa" w:w="2340"/>
          </w:tcPr>
          <w:p>
            <w:r>
              <w:t xml:space="preserve">   24.45</w:t>
            </w:r>
          </w:p>
        </w:tc>
        <w:tc>
          <w:tcPr>
            <w:tcW w:type="dxa" w:w="2340"/>
          </w:tcPr>
          <w:p>
            <w:r>
              <w:t xml:space="preserve">   12.95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19.49</w:t>
            </w:r>
          </w:p>
        </w:tc>
        <w:tc>
          <w:tcPr>
            <w:tcW w:type="dxa" w:w="2340"/>
          </w:tcPr>
          <w:p>
            <w:r>
              <w:t xml:space="preserve">   27.14</w:t>
            </w:r>
          </w:p>
        </w:tc>
        <w:tc>
          <w:tcPr>
            <w:tcW w:type="dxa" w:w="2340"/>
          </w:tcPr>
          <w:p>
            <w:r>
              <w:t xml:space="preserve">   39.21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14.75</w:t>
            </w:r>
          </w:p>
        </w:tc>
        <w:tc>
          <w:tcPr>
            <w:tcW w:type="dxa" w:w="2340"/>
          </w:tcPr>
          <w:p>
            <w:r>
              <w:t xml:space="preserve">   18.02</w:t>
            </w:r>
          </w:p>
        </w:tc>
        <w:tc>
          <w:tcPr>
            <w:tcW w:type="dxa" w:w="2340"/>
          </w:tcPr>
          <w:p>
            <w:r>
              <w:t xml:space="preserve">   22.12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18.85</w:t>
            </w:r>
          </w:p>
        </w:tc>
        <w:tc>
          <w:tcPr>
            <w:tcW w:type="dxa" w:w="2340"/>
          </w:tcPr>
          <w:p>
            <w:r>
              <w:t xml:space="preserve">   22.55</w:t>
            </w:r>
          </w:p>
        </w:tc>
        <w:tc>
          <w:tcPr>
            <w:tcW w:type="dxa" w:w="2340"/>
          </w:tcPr>
          <w:p>
            <w:r>
              <w:t xml:space="preserve">   19.63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48.52</w:t>
            </w:r>
          </w:p>
        </w:tc>
        <w:tc>
          <w:tcPr>
            <w:tcW w:type="dxa" w:w="2340"/>
          </w:tcPr>
          <w:p>
            <w:r>
              <w:t xml:space="preserve">   65.12</w:t>
            </w:r>
          </w:p>
        </w:tc>
        <w:tc>
          <w:tcPr>
            <w:tcW w:type="dxa" w:w="2340"/>
          </w:tcPr>
          <w:p>
            <w:r>
              <w:t xml:space="preserve">   34.19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69.24</w:t>
            </w:r>
          </w:p>
        </w:tc>
        <w:tc>
          <w:tcPr>
            <w:tcW w:type="dxa" w:w="2340"/>
          </w:tcPr>
          <w:p>
            <w:r>
              <w:t xml:space="preserve">   98.31</w:t>
            </w:r>
          </w:p>
        </w:tc>
        <w:tc>
          <w:tcPr>
            <w:tcW w:type="dxa" w:w="2340"/>
          </w:tcPr>
          <w:p>
            <w:r>
              <w:t xml:space="preserve">   41.98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45.00</w:t>
            </w:r>
          </w:p>
        </w:tc>
        <w:tc>
          <w:tcPr>
            <w:tcW w:type="dxa" w:w="2340"/>
          </w:tcPr>
          <w:p>
            <w:r>
              <w:t xml:space="preserve">   60.36</w:t>
            </w:r>
          </w:p>
        </w:tc>
        <w:tc>
          <w:tcPr>
            <w:tcW w:type="dxa" w:w="2340"/>
          </w:tcPr>
          <w:p>
            <w:r>
              <w:t xml:space="preserve">   34.13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56.67</w:t>
            </w:r>
          </w:p>
        </w:tc>
        <w:tc>
          <w:tcPr>
            <w:tcW w:type="dxa" w:w="2340"/>
          </w:tcPr>
          <w:p>
            <w:r>
              <w:t xml:space="preserve">   71.33</w:t>
            </w:r>
          </w:p>
        </w:tc>
        <w:tc>
          <w:tcPr>
            <w:tcW w:type="dxa" w:w="2340"/>
          </w:tcPr>
          <w:p>
            <w:r>
              <w:t xml:space="preserve">   25.88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52.67</w:t>
            </w:r>
          </w:p>
        </w:tc>
        <w:tc>
          <w:tcPr>
            <w:tcW w:type="dxa" w:w="2340"/>
          </w:tcPr>
          <w:p>
            <w:r>
              <w:t xml:space="preserve">   67.94</w:t>
            </w:r>
          </w:p>
        </w:tc>
        <w:tc>
          <w:tcPr>
            <w:tcW w:type="dxa" w:w="2340"/>
          </w:tcPr>
          <w:p>
            <w:r>
              <w:t xml:space="preserve">   29.00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54.33</w:t>
            </w:r>
          </w:p>
        </w:tc>
        <w:tc>
          <w:tcPr>
            <w:tcW w:type="dxa" w:w="2340"/>
          </w:tcPr>
          <w:p>
            <w:r>
              <w:t xml:space="preserve">   68.23</w:t>
            </w:r>
          </w:p>
        </w:tc>
        <w:tc>
          <w:tcPr>
            <w:tcW w:type="dxa" w:w="2340"/>
          </w:tcPr>
          <w:p>
            <w:r>
              <w:t xml:space="preserve">   25.57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39.00</w:t>
            </w:r>
          </w:p>
        </w:tc>
        <w:tc>
          <w:tcPr>
            <w:tcW w:type="dxa" w:w="2340"/>
          </w:tcPr>
          <w:p>
            <w:r>
              <w:t xml:space="preserve">   50.87</w:t>
            </w:r>
          </w:p>
        </w:tc>
        <w:tc>
          <w:tcPr>
            <w:tcW w:type="dxa" w:w="2340"/>
          </w:tcPr>
          <w:p>
            <w:r>
              <w:t xml:space="preserve">   30.45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29.00</w:t>
            </w:r>
          </w:p>
        </w:tc>
        <w:tc>
          <w:tcPr>
            <w:tcW w:type="dxa" w:w="2340"/>
          </w:tcPr>
          <w:p>
            <w:r>
              <w:t xml:space="preserve">   39.56</w:t>
            </w:r>
          </w:p>
        </w:tc>
        <w:tc>
          <w:tcPr>
            <w:tcW w:type="dxa" w:w="2340"/>
          </w:tcPr>
          <w:p>
            <w:r>
              <w:t xml:space="preserve">   36.41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18.67</w:t>
            </w:r>
          </w:p>
        </w:tc>
        <w:tc>
          <w:tcPr>
            <w:tcW w:type="dxa" w:w="2340"/>
          </w:tcPr>
          <w:p>
            <w:r>
              <w:t xml:space="preserve">   26.32</w:t>
            </w:r>
          </w:p>
        </w:tc>
        <w:tc>
          <w:tcPr>
            <w:tcW w:type="dxa" w:w="2340"/>
          </w:tcPr>
          <w:p>
            <w:r>
              <w:t xml:space="preserve">   41.02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15.17</w:t>
            </w:r>
          </w:p>
        </w:tc>
        <w:tc>
          <w:tcPr>
            <w:tcW w:type="dxa" w:w="2340"/>
          </w:tcPr>
          <w:p>
            <w:r>
              <w:t xml:space="preserve">   20.66</w:t>
            </w:r>
          </w:p>
        </w:tc>
        <w:tc>
          <w:tcPr>
            <w:tcW w:type="dxa" w:w="2340"/>
          </w:tcPr>
          <w:p>
            <w:r>
              <w:t xml:space="preserve">   36.21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12.63</w:t>
            </w:r>
          </w:p>
        </w:tc>
        <w:tc>
          <w:tcPr>
            <w:tcW w:type="dxa" w:w="2340"/>
          </w:tcPr>
          <w:p>
            <w:r>
              <w:t xml:space="preserve">   17.15</w:t>
            </w:r>
          </w:p>
        </w:tc>
        <w:tc>
          <w:tcPr>
            <w:tcW w:type="dxa" w:w="2340"/>
          </w:tcPr>
          <w:p>
            <w:r>
              <w:t xml:space="preserve">   35.76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17.20</w:t>
            </w:r>
          </w:p>
        </w:tc>
        <w:tc>
          <w:tcPr>
            <w:tcW w:type="dxa" w:w="2340"/>
          </w:tcPr>
          <w:p>
            <w:r>
              <w:t xml:space="preserve">   21.93</w:t>
            </w:r>
          </w:p>
        </w:tc>
        <w:tc>
          <w:tcPr>
            <w:tcW w:type="dxa" w:w="2340"/>
          </w:tcPr>
          <w:p>
            <w:r>
              <w:t xml:space="preserve">   27.50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36.50</w:t>
            </w:r>
          </w:p>
        </w:tc>
        <w:tc>
          <w:tcPr>
            <w:tcW w:type="dxa" w:w="2340"/>
          </w:tcPr>
          <w:p>
            <w:r>
              <w:t xml:space="preserve">   44.13</w:t>
            </w:r>
          </w:p>
        </w:tc>
        <w:tc>
          <w:tcPr>
            <w:tcW w:type="dxa" w:w="2340"/>
          </w:tcPr>
          <w:p>
            <w:r>
              <w:t xml:space="preserve">   20.89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36.75</w:t>
            </w:r>
          </w:p>
        </w:tc>
        <w:tc>
          <w:tcPr>
            <w:tcW w:type="dxa" w:w="2340"/>
          </w:tcPr>
          <w:p>
            <w:r>
              <w:t xml:space="preserve">   50.90</w:t>
            </w:r>
          </w:p>
        </w:tc>
        <w:tc>
          <w:tcPr>
            <w:tcW w:type="dxa" w:w="2340"/>
          </w:tcPr>
          <w:p>
            <w:r>
              <w:t xml:space="preserve">   38.50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79.29</w:t>
            </w:r>
          </w:p>
        </w:tc>
        <w:tc>
          <w:tcPr>
            <w:tcW w:type="dxa" w:w="2340"/>
          </w:tcPr>
          <w:p>
            <w:r>
              <w:t xml:space="preserve">   65.54</w:t>
            </w:r>
          </w:p>
        </w:tc>
        <w:tc>
          <w:tcPr>
            <w:tcW w:type="dxa" w:w="2340"/>
          </w:tcPr>
          <w:p>
            <w:r>
              <w:t xml:space="preserve">  -17.34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0.44</w:t>
            </w:r>
          </w:p>
        </w:tc>
        <w:tc>
          <w:tcPr>
            <w:tcW w:type="dxa" w:w="2340"/>
          </w:tcPr>
          <w:p>
            <w:r>
              <w:t xml:space="preserve">    0.37</w:t>
            </w:r>
          </w:p>
        </w:tc>
        <w:tc>
          <w:tcPr>
            <w:tcW w:type="dxa" w:w="2340"/>
          </w:tcPr>
          <w:p>
            <w:r>
              <w:t xml:space="preserve">  -17.71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0.33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>
              <w:t xml:space="preserve">  -15.28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0.32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>
              <w:t xml:space="preserve">  -11.36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0.75</w:t>
            </w:r>
          </w:p>
        </w:tc>
        <w:tc>
          <w:tcPr>
            <w:tcW w:type="dxa" w:w="2340"/>
          </w:tcPr>
          <w:p>
            <w:r>
              <w:t xml:space="preserve">    0.75</w:t>
            </w:r>
          </w:p>
        </w:tc>
        <w:tc>
          <w:tcPr>
            <w:tcW w:type="dxa" w:w="2340"/>
          </w:tcPr>
          <w:p>
            <w:r>
              <w:t xml:space="preserve">   -0.24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0.14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>
              <w:t xml:space="preserve">    9.35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21.45</w:t>
            </w:r>
          </w:p>
        </w:tc>
        <w:tc>
          <w:tcPr>
            <w:tcW w:type="dxa" w:w="2340"/>
          </w:tcPr>
          <w:p>
            <w:r>
              <w:t xml:space="preserve">   35.54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252.93</w:t>
            </w:r>
          </w:p>
        </w:tc>
        <w:tc>
          <w:tcPr>
            <w:tcW w:type="dxa" w:w="2340"/>
          </w:tcPr>
          <w:p>
            <w:r>
              <w:t xml:space="preserve">  227.97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10.06</w:t>
            </w:r>
          </w:p>
        </w:tc>
        <w:tc>
          <w:tcPr>
            <w:tcW w:type="dxa" w:w="2340"/>
          </w:tcPr>
          <w:p>
            <w:r>
              <w:t xml:space="preserve">    6.57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271.13</w:t>
            </w:r>
          </w:p>
        </w:tc>
        <w:tc>
          <w:tcPr>
            <w:tcW w:type="dxa" w:w="2340"/>
          </w:tcPr>
          <w:p>
            <w:r>
              <w:t xml:space="preserve">  313.24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0.27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92.25</w:t>
            </w:r>
          </w:p>
        </w:tc>
        <w:tc>
          <w:tcPr>
            <w:tcW w:type="dxa" w:w="2340"/>
          </w:tcPr>
          <w:p>
            <w:r>
              <w:t xml:space="preserve">   57.50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49.43</w:t>
            </w:r>
          </w:p>
        </w:tc>
        <w:tc>
          <w:tcPr>
            <w:tcW w:type="dxa" w:w="2340"/>
          </w:tcPr>
          <w:p>
            <w:r>
              <w:t xml:space="preserve">   50.01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9_02182000_daily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03060102-7: Daily flow for HSFP reach 09 and USGS station 02182000.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9_02182000_daily_fdc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03060102-8: Daily exceedance for HSFP reach 09 and USGS station 02182000.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9_02182000_monthly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03060102-9: Monthly flow for HSFP reach 09 and USGS station 02182000.</w:t>
      </w:r>
    </w:p>
    <w:p>
      <w:pPr>
        <w:pStyle w:val="Heading2"/>
      </w:pPr>
      <w:r>
        <w:t>HSPF Reach 18, USGS Gauge 02178400</w:t>
      </w:r>
    </w:p>
    <w:p>
      <w:pPr>
        <w:pStyle w:val="Caption-Table"/>
      </w:pPr>
      <w:r>
        <w:t>Table 03060102-5: Comparison Statistics Between HSPF Reach 18 and USGS Gauge 02178400.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-36.25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52.41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-0.20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0.54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0.70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0.48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0.73</w:t>
            </w:r>
          </w:p>
        </w:tc>
      </w:tr>
    </w:tbl>
    <w:p>
      <w:pPr>
        <w:pStyle w:val="Caption-Table"/>
      </w:pPr>
      <w:r>
        <w:t>Table 03060102-6: Hydrologic Indices Between USGS Gauge 02178400 and HSPF Reach 18.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02178400</w:t>
            </w:r>
          </w:p>
        </w:tc>
        <w:tc>
          <w:tcPr>
            <w:tcW w:type="dxa" w:w="2340"/>
          </w:tcPr>
          <w:p>
            <w:r>
              <w:t>Simulated</w:t>
              <w:br/>
              <w:t>Reach 18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177.50</w:t>
            </w:r>
          </w:p>
        </w:tc>
        <w:tc>
          <w:tcPr>
            <w:tcW w:type="dxa" w:w="2340"/>
          </w:tcPr>
          <w:p>
            <w:r>
              <w:t xml:space="preserve">  141.23</w:t>
            </w:r>
          </w:p>
        </w:tc>
        <w:tc>
          <w:tcPr>
            <w:tcW w:type="dxa" w:w="2340"/>
          </w:tcPr>
          <w:p>
            <w:r>
              <w:t xml:space="preserve">  -20.43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143.00</w:t>
            </w:r>
          </w:p>
        </w:tc>
        <w:tc>
          <w:tcPr>
            <w:tcW w:type="dxa" w:w="2340"/>
          </w:tcPr>
          <w:p>
            <w:r>
              <w:t xml:space="preserve">  122.27</w:t>
            </w:r>
          </w:p>
        </w:tc>
        <w:tc>
          <w:tcPr>
            <w:tcW w:type="dxa" w:w="2340"/>
          </w:tcPr>
          <w:p>
            <w:r>
              <w:t xml:space="preserve">  -14.50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80.77</w:t>
            </w:r>
          </w:p>
        </w:tc>
        <w:tc>
          <w:tcPr>
            <w:tcW w:type="dxa" w:w="2340"/>
          </w:tcPr>
          <w:p>
            <w:r>
              <w:t xml:space="preserve">   63.85</w:t>
            </w:r>
          </w:p>
        </w:tc>
        <w:tc>
          <w:tcPr>
            <w:tcW w:type="dxa" w:w="2340"/>
          </w:tcPr>
          <w:p>
            <w:r>
              <w:t xml:space="preserve">  -20.95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58.20</w:t>
            </w:r>
          </w:p>
        </w:tc>
        <w:tc>
          <w:tcPr>
            <w:tcW w:type="dxa" w:w="2340"/>
          </w:tcPr>
          <w:p>
            <w:r>
              <w:t xml:space="preserve">   54.60</w:t>
            </w:r>
          </w:p>
        </w:tc>
        <w:tc>
          <w:tcPr>
            <w:tcW w:type="dxa" w:w="2340"/>
          </w:tcPr>
          <w:p>
            <w:r>
              <w:t xml:space="preserve">   -6.19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1.24</w:t>
            </w:r>
          </w:p>
        </w:tc>
        <w:tc>
          <w:tcPr>
            <w:tcW w:type="dxa" w:w="2340"/>
          </w:tcPr>
          <w:p>
            <w:r>
              <w:t xml:space="preserve">    1.16</w:t>
            </w:r>
          </w:p>
        </w:tc>
        <w:tc>
          <w:tcPr>
            <w:tcW w:type="dxa" w:w="2340"/>
          </w:tcPr>
          <w:p>
            <w:r>
              <w:t xml:space="preserve">   -6.94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1.80</w:t>
            </w:r>
          </w:p>
        </w:tc>
        <w:tc>
          <w:tcPr>
            <w:tcW w:type="dxa" w:w="2340"/>
          </w:tcPr>
          <w:p>
            <w:r>
              <w:t xml:space="preserve">    1.65</w:t>
            </w:r>
          </w:p>
        </w:tc>
        <w:tc>
          <w:tcPr>
            <w:tcW w:type="dxa" w:w="2340"/>
          </w:tcPr>
          <w:p>
            <w:r>
              <w:t xml:space="preserve">   -8.56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1.13</w:t>
            </w:r>
          </w:p>
        </w:tc>
        <w:tc>
          <w:tcPr>
            <w:tcW w:type="dxa" w:w="2340"/>
          </w:tcPr>
          <w:p>
            <w:r>
              <w:t xml:space="preserve">    1.07</w:t>
            </w:r>
          </w:p>
        </w:tc>
        <w:tc>
          <w:tcPr>
            <w:tcW w:type="dxa" w:w="2340"/>
          </w:tcPr>
          <w:p>
            <w:r>
              <w:t xml:space="preserve">   -4.89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0.89</w:t>
            </w:r>
          </w:p>
        </w:tc>
        <w:tc>
          <w:tcPr>
            <w:tcW w:type="dxa" w:w="2340"/>
          </w:tcPr>
          <w:p>
            <w:r>
              <w:t xml:space="preserve">    0.87</w:t>
            </w:r>
          </w:p>
        </w:tc>
        <w:tc>
          <w:tcPr>
            <w:tcW w:type="dxa" w:w="2340"/>
          </w:tcPr>
          <w:p>
            <w:r>
              <w:t xml:space="preserve">   -2.16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238.76</w:t>
            </w:r>
          </w:p>
        </w:tc>
        <w:tc>
          <w:tcPr>
            <w:tcW w:type="dxa" w:w="2340"/>
          </w:tcPr>
          <w:p>
            <w:r>
              <w:t xml:space="preserve">  203.29</w:t>
            </w:r>
          </w:p>
        </w:tc>
        <w:tc>
          <w:tcPr>
            <w:tcW w:type="dxa" w:w="2340"/>
          </w:tcPr>
          <w:p>
            <w:r>
              <w:t xml:space="preserve">  -14.86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219.69</w:t>
            </w:r>
          </w:p>
        </w:tc>
        <w:tc>
          <w:tcPr>
            <w:tcW w:type="dxa" w:w="2340"/>
          </w:tcPr>
          <w:p>
            <w:r>
              <w:t xml:space="preserve">  194.00</w:t>
            </w:r>
          </w:p>
        </w:tc>
        <w:tc>
          <w:tcPr>
            <w:tcW w:type="dxa" w:w="2340"/>
          </w:tcPr>
          <w:p>
            <w:r>
              <w:t xml:space="preserve">  -11.69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240.00</w:t>
            </w:r>
          </w:p>
        </w:tc>
        <w:tc>
          <w:tcPr>
            <w:tcW w:type="dxa" w:w="2340"/>
          </w:tcPr>
          <w:p>
            <w:r>
              <w:t xml:space="preserve">  193.60</w:t>
            </w:r>
          </w:p>
        </w:tc>
        <w:tc>
          <w:tcPr>
            <w:tcW w:type="dxa" w:w="2340"/>
          </w:tcPr>
          <w:p>
            <w:r>
              <w:t xml:space="preserve">  -19.33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222.25</w:t>
            </w:r>
          </w:p>
        </w:tc>
        <w:tc>
          <w:tcPr>
            <w:tcW w:type="dxa" w:w="2340"/>
          </w:tcPr>
          <w:p>
            <w:r>
              <w:t xml:space="preserve">  173.23</w:t>
            </w:r>
          </w:p>
        </w:tc>
        <w:tc>
          <w:tcPr>
            <w:tcW w:type="dxa" w:w="2340"/>
          </w:tcPr>
          <w:p>
            <w:r>
              <w:t xml:space="preserve">  -22.06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180.71</w:t>
            </w:r>
          </w:p>
        </w:tc>
        <w:tc>
          <w:tcPr>
            <w:tcW w:type="dxa" w:w="2340"/>
          </w:tcPr>
          <w:p>
            <w:r>
              <w:t xml:space="preserve">  144.58</w:t>
            </w:r>
          </w:p>
        </w:tc>
        <w:tc>
          <w:tcPr>
            <w:tcW w:type="dxa" w:w="2340"/>
          </w:tcPr>
          <w:p>
            <w:r>
              <w:t xml:space="preserve">  -19.99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148.07</w:t>
            </w:r>
          </w:p>
        </w:tc>
        <w:tc>
          <w:tcPr>
            <w:tcW w:type="dxa" w:w="2340"/>
          </w:tcPr>
          <w:p>
            <w:r>
              <w:t xml:space="preserve">  110.76</w:t>
            </w:r>
          </w:p>
        </w:tc>
        <w:tc>
          <w:tcPr>
            <w:tcW w:type="dxa" w:w="2340"/>
          </w:tcPr>
          <w:p>
            <w:r>
              <w:t xml:space="preserve">  -25.20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128.86</w:t>
            </w:r>
          </w:p>
        </w:tc>
        <w:tc>
          <w:tcPr>
            <w:tcW w:type="dxa" w:w="2340"/>
          </w:tcPr>
          <w:p>
            <w:r>
              <w:t xml:space="preserve">   96.12</w:t>
            </w:r>
          </w:p>
        </w:tc>
        <w:tc>
          <w:tcPr>
            <w:tcW w:type="dxa" w:w="2340"/>
          </w:tcPr>
          <w:p>
            <w:r>
              <w:t xml:space="preserve">  -25.40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114.40</w:t>
            </w:r>
          </w:p>
        </w:tc>
        <w:tc>
          <w:tcPr>
            <w:tcW w:type="dxa" w:w="2340"/>
          </w:tcPr>
          <w:p>
            <w:r>
              <w:t xml:space="preserve">   78.44</w:t>
            </w:r>
          </w:p>
        </w:tc>
        <w:tc>
          <w:tcPr>
            <w:tcW w:type="dxa" w:w="2340"/>
          </w:tcPr>
          <w:p>
            <w:r>
              <w:t xml:space="preserve">  -31.43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127.10</w:t>
            </w:r>
          </w:p>
        </w:tc>
        <w:tc>
          <w:tcPr>
            <w:tcW w:type="dxa" w:w="2340"/>
          </w:tcPr>
          <w:p>
            <w:r>
              <w:t xml:space="preserve">   86.98</w:t>
            </w:r>
          </w:p>
        </w:tc>
        <w:tc>
          <w:tcPr>
            <w:tcW w:type="dxa" w:w="2340"/>
          </w:tcPr>
          <w:p>
            <w:r>
              <w:t xml:space="preserve">  -31.57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104.14</w:t>
            </w:r>
          </w:p>
        </w:tc>
        <w:tc>
          <w:tcPr>
            <w:tcW w:type="dxa" w:w="2340"/>
          </w:tcPr>
          <w:p>
            <w:r>
              <w:t xml:space="preserve">   88.84</w:t>
            </w:r>
          </w:p>
        </w:tc>
        <w:tc>
          <w:tcPr>
            <w:tcW w:type="dxa" w:w="2340"/>
          </w:tcPr>
          <w:p>
            <w:r>
              <w:t xml:space="preserve">  -14.69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142.11</w:t>
            </w:r>
          </w:p>
        </w:tc>
        <w:tc>
          <w:tcPr>
            <w:tcW w:type="dxa" w:w="2340"/>
          </w:tcPr>
          <w:p>
            <w:r>
              <w:t xml:space="preserve">  108.23</w:t>
            </w:r>
          </w:p>
        </w:tc>
        <w:tc>
          <w:tcPr>
            <w:tcW w:type="dxa" w:w="2340"/>
          </w:tcPr>
          <w:p>
            <w:r>
              <w:t xml:space="preserve">  -23.84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188.32</w:t>
            </w:r>
          </w:p>
        </w:tc>
        <w:tc>
          <w:tcPr>
            <w:tcW w:type="dxa" w:w="2340"/>
          </w:tcPr>
          <w:p>
            <w:r>
              <w:t xml:space="preserve">  157.97</w:t>
            </w:r>
          </w:p>
        </w:tc>
        <w:tc>
          <w:tcPr>
            <w:tcW w:type="dxa" w:w="2340"/>
          </w:tcPr>
          <w:p>
            <w:r>
              <w:t xml:space="preserve">  -16.12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131.92</w:t>
            </w:r>
          </w:p>
        </w:tc>
        <w:tc>
          <w:tcPr>
            <w:tcW w:type="dxa" w:w="2340"/>
          </w:tcPr>
          <w:p>
            <w:r>
              <w:t xml:space="preserve">  128.71</w:t>
            </w:r>
          </w:p>
        </w:tc>
        <w:tc>
          <w:tcPr>
            <w:tcW w:type="dxa" w:w="2340"/>
          </w:tcPr>
          <w:p>
            <w:r>
              <w:t xml:space="preserve">   -2.43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150.26</w:t>
            </w:r>
          </w:p>
        </w:tc>
        <w:tc>
          <w:tcPr>
            <w:tcW w:type="dxa" w:w="2340"/>
          </w:tcPr>
          <w:p>
            <w:r>
              <w:t xml:space="preserve">  144.06</w:t>
            </w:r>
          </w:p>
        </w:tc>
        <w:tc>
          <w:tcPr>
            <w:tcW w:type="dxa" w:w="2340"/>
          </w:tcPr>
          <w:p>
            <w:r>
              <w:t xml:space="preserve">   -4.13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159.70</w:t>
            </w:r>
          </w:p>
        </w:tc>
        <w:tc>
          <w:tcPr>
            <w:tcW w:type="dxa" w:w="2340"/>
          </w:tcPr>
          <w:p>
            <w:r>
              <w:t xml:space="preserve">  146.29</w:t>
            </w:r>
          </w:p>
        </w:tc>
        <w:tc>
          <w:tcPr>
            <w:tcW w:type="dxa" w:w="2340"/>
          </w:tcPr>
          <w:p>
            <w:r>
              <w:t xml:space="preserve">   -8.40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161.78</w:t>
            </w:r>
          </w:p>
        </w:tc>
        <w:tc>
          <w:tcPr>
            <w:tcW w:type="dxa" w:w="2340"/>
          </w:tcPr>
          <w:p>
            <w:r>
              <w:t xml:space="preserve">  141.45</w:t>
            </w:r>
          </w:p>
        </w:tc>
        <w:tc>
          <w:tcPr>
            <w:tcW w:type="dxa" w:w="2340"/>
          </w:tcPr>
          <w:p>
            <w:r>
              <w:t xml:space="preserve">  -12.57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124.26</w:t>
            </w:r>
          </w:p>
        </w:tc>
        <w:tc>
          <w:tcPr>
            <w:tcW w:type="dxa" w:w="2340"/>
          </w:tcPr>
          <w:p>
            <w:r>
              <w:t xml:space="preserve">  114.96</w:t>
            </w:r>
          </w:p>
        </w:tc>
        <w:tc>
          <w:tcPr>
            <w:tcW w:type="dxa" w:w="2340"/>
          </w:tcPr>
          <w:p>
            <w:r>
              <w:t xml:space="preserve">   -7.48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99.35</w:t>
            </w:r>
          </w:p>
        </w:tc>
        <w:tc>
          <w:tcPr>
            <w:tcW w:type="dxa" w:w="2340"/>
          </w:tcPr>
          <w:p>
            <w:r>
              <w:t xml:space="preserve">   95.78</w:t>
            </w:r>
          </w:p>
        </w:tc>
        <w:tc>
          <w:tcPr>
            <w:tcW w:type="dxa" w:w="2340"/>
          </w:tcPr>
          <w:p>
            <w:r>
              <w:t xml:space="preserve">   -3.59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81.57</w:t>
            </w:r>
          </w:p>
        </w:tc>
        <w:tc>
          <w:tcPr>
            <w:tcW w:type="dxa" w:w="2340"/>
          </w:tcPr>
          <w:p>
            <w:r>
              <w:t xml:space="preserve">   78.20</w:t>
            </w:r>
          </w:p>
        </w:tc>
        <w:tc>
          <w:tcPr>
            <w:tcW w:type="dxa" w:w="2340"/>
          </w:tcPr>
          <w:p>
            <w:r>
              <w:t xml:space="preserve">   -4.13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71.65</w:t>
            </w:r>
          </w:p>
        </w:tc>
        <w:tc>
          <w:tcPr>
            <w:tcW w:type="dxa" w:w="2340"/>
          </w:tcPr>
          <w:p>
            <w:r>
              <w:t xml:space="preserve">   66.86</w:t>
            </w:r>
          </w:p>
        </w:tc>
        <w:tc>
          <w:tcPr>
            <w:tcW w:type="dxa" w:w="2340"/>
          </w:tcPr>
          <w:p>
            <w:r>
              <w:t xml:space="preserve">   -6.69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66.17</w:t>
            </w:r>
          </w:p>
        </w:tc>
        <w:tc>
          <w:tcPr>
            <w:tcW w:type="dxa" w:w="2340"/>
          </w:tcPr>
          <w:p>
            <w:r>
              <w:t xml:space="preserve">   59.27</w:t>
            </w:r>
          </w:p>
        </w:tc>
        <w:tc>
          <w:tcPr>
            <w:tcW w:type="dxa" w:w="2340"/>
          </w:tcPr>
          <w:p>
            <w:r>
              <w:t xml:space="preserve">  -10.44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68.87</w:t>
            </w:r>
          </w:p>
        </w:tc>
        <w:tc>
          <w:tcPr>
            <w:tcW w:type="dxa" w:w="2340"/>
          </w:tcPr>
          <w:p>
            <w:r>
              <w:t xml:space="preserve">   65.56</w:t>
            </w:r>
          </w:p>
        </w:tc>
        <w:tc>
          <w:tcPr>
            <w:tcW w:type="dxa" w:w="2340"/>
          </w:tcPr>
          <w:p>
            <w:r>
              <w:t xml:space="preserve">   -4.81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77.52</w:t>
            </w:r>
          </w:p>
        </w:tc>
        <w:tc>
          <w:tcPr>
            <w:tcW w:type="dxa" w:w="2340"/>
          </w:tcPr>
          <w:p>
            <w:r>
              <w:t xml:space="preserve">   72.41</w:t>
            </w:r>
          </w:p>
        </w:tc>
        <w:tc>
          <w:tcPr>
            <w:tcW w:type="dxa" w:w="2340"/>
          </w:tcPr>
          <w:p>
            <w:r>
              <w:t xml:space="preserve">   -6.59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111.04</w:t>
            </w:r>
          </w:p>
        </w:tc>
        <w:tc>
          <w:tcPr>
            <w:tcW w:type="dxa" w:w="2340"/>
          </w:tcPr>
          <w:p>
            <w:r>
              <w:t xml:space="preserve">  104.76</w:t>
            </w:r>
          </w:p>
        </w:tc>
        <w:tc>
          <w:tcPr>
            <w:tcW w:type="dxa" w:w="2340"/>
          </w:tcPr>
          <w:p>
            <w:r>
              <w:t xml:space="preserve">   -5.66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50.27</w:t>
            </w:r>
          </w:p>
        </w:tc>
        <w:tc>
          <w:tcPr>
            <w:tcW w:type="dxa" w:w="2340"/>
          </w:tcPr>
          <w:p>
            <w:r>
              <w:t xml:space="preserve">   51.65</w:t>
            </w:r>
          </w:p>
        </w:tc>
        <w:tc>
          <w:tcPr>
            <w:tcW w:type="dxa" w:w="2340"/>
          </w:tcPr>
          <w:p>
            <w:r>
              <w:t xml:space="preserve">    2.74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0.35</w:t>
            </w:r>
          </w:p>
        </w:tc>
        <w:tc>
          <w:tcPr>
            <w:tcW w:type="dxa" w:w="2340"/>
          </w:tcPr>
          <w:p>
            <w:r>
              <w:t xml:space="preserve">    0.34</w:t>
            </w:r>
          </w:p>
        </w:tc>
        <w:tc>
          <w:tcPr>
            <w:tcW w:type="dxa" w:w="2340"/>
          </w:tcPr>
          <w:p>
            <w:r>
              <w:t xml:space="preserve">   -1.52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>
              <w:t xml:space="preserve">    7.91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0.32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>
              <w:t xml:space="preserve">   -2.46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0.69</w:t>
            </w:r>
          </w:p>
        </w:tc>
        <w:tc>
          <w:tcPr>
            <w:tcW w:type="dxa" w:w="2340"/>
          </w:tcPr>
          <w:p>
            <w:r>
              <w:t xml:space="preserve">    0.81</w:t>
            </w:r>
          </w:p>
        </w:tc>
        <w:tc>
          <w:tcPr>
            <w:tcW w:type="dxa" w:w="2340"/>
          </w:tcPr>
          <w:p>
            <w:r>
              <w:t xml:space="preserve">   17.42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0.50</w:t>
            </w:r>
          </w:p>
        </w:tc>
        <w:tc>
          <w:tcPr>
            <w:tcW w:type="dxa" w:w="2340"/>
          </w:tcPr>
          <w:p>
            <w:r>
              <w:t xml:space="preserve">    0.45</w:t>
            </w:r>
          </w:p>
        </w:tc>
        <w:tc>
          <w:tcPr>
            <w:tcW w:type="dxa" w:w="2340"/>
          </w:tcPr>
          <w:p>
            <w:r>
              <w:t xml:space="preserve">   -9.55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79.24</w:t>
            </w:r>
          </w:p>
        </w:tc>
        <w:tc>
          <w:tcPr>
            <w:tcW w:type="dxa" w:w="2340"/>
          </w:tcPr>
          <w:p>
            <w:r>
              <w:t xml:space="preserve">   40.76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221.15</w:t>
            </w:r>
          </w:p>
        </w:tc>
        <w:tc>
          <w:tcPr>
            <w:tcW w:type="dxa" w:w="2340"/>
          </w:tcPr>
          <w:p>
            <w:r>
              <w:t xml:space="preserve">  250.26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26.57</w:t>
            </w:r>
          </w:p>
        </w:tc>
        <w:tc>
          <w:tcPr>
            <w:tcW w:type="dxa" w:w="2340"/>
          </w:tcPr>
          <w:p>
            <w:r>
              <w:t xml:space="preserve">    9.89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303.52</w:t>
            </w:r>
          </w:p>
        </w:tc>
        <w:tc>
          <w:tcPr>
            <w:tcW w:type="dxa" w:w="2340"/>
          </w:tcPr>
          <w:p>
            <w:r>
              <w:t xml:space="preserve">  296.98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0.24</w:t>
            </w:r>
          </w:p>
        </w:tc>
        <w:tc>
          <w:tcPr>
            <w:tcW w:type="dxa" w:w="2340"/>
          </w:tcPr>
          <w:p>
            <w:r>
              <w:t xml:space="preserve">    0.20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0.16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106.08</w:t>
            </w:r>
          </w:p>
        </w:tc>
        <w:tc>
          <w:tcPr>
            <w:tcW w:type="dxa" w:w="2340"/>
          </w:tcPr>
          <w:p>
            <w:r>
              <w:t xml:space="preserve">   81.75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18.84</w:t>
            </w:r>
          </w:p>
        </w:tc>
        <w:tc>
          <w:tcPr>
            <w:tcW w:type="dxa" w:w="2340"/>
          </w:tcPr>
          <w:p>
            <w:r>
              <w:t xml:space="preserve">   20.95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8_02178400_daily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03060102-10: Daily flow for HSFP reach 18 and USGS station 02178400.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8_02178400_daily_fdc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03060102-11: Daily exceedance for HSFP reach 18 and USGS station 02178400.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8_02178400_monthly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03060102-12: Monthly flow for HSFP reach 18 and USGS station 02178400.</w:t>
      </w:r>
    </w:p>
    <w:p>
      <w:pPr>
        <w:pStyle w:val="Heading2"/>
      </w:pPr>
      <w:r>
        <w:t>HSPF Reach 22, USGS Gauge 02177000</w:t>
      </w:r>
    </w:p>
    <w:p>
      <w:pPr>
        <w:pStyle w:val="Caption-Table"/>
      </w:pPr>
      <w:r>
        <w:t>Table 03060102-7: Comparison Statistics Between HSPF Reach 22 and USGS Gauge 02177000.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-61.08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143.33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-0.10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0.38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0.85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0.67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0.83</w:t>
            </w:r>
          </w:p>
        </w:tc>
      </w:tr>
    </w:tbl>
    <w:p>
      <w:pPr>
        <w:pStyle w:val="Caption-Table"/>
      </w:pPr>
      <w:r>
        <w:t>Table 03060102-8: Hydrologic Indices Between USGS Gauge 02177000 and HSPF Reach 22.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02177000</w:t>
            </w:r>
          </w:p>
        </w:tc>
        <w:tc>
          <w:tcPr>
            <w:tcW w:type="dxa" w:w="2340"/>
          </w:tcPr>
          <w:p>
            <w:r>
              <w:t>Simulated</w:t>
              <w:br/>
              <w:t>Reach 22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634.54</w:t>
            </w:r>
          </w:p>
        </w:tc>
        <w:tc>
          <w:tcPr>
            <w:tcW w:type="dxa" w:w="2340"/>
          </w:tcPr>
          <w:p>
            <w:r>
              <w:t xml:space="preserve">  573.67</w:t>
            </w:r>
          </w:p>
        </w:tc>
        <w:tc>
          <w:tcPr>
            <w:tcW w:type="dxa" w:w="2340"/>
          </w:tcPr>
          <w:p>
            <w:r>
              <w:t xml:space="preserve">   -9.59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508.00</w:t>
            </w:r>
          </w:p>
        </w:tc>
        <w:tc>
          <w:tcPr>
            <w:tcW w:type="dxa" w:w="2340"/>
          </w:tcPr>
          <w:p>
            <w:r>
              <w:t xml:space="preserve">  484.14</w:t>
            </w:r>
          </w:p>
        </w:tc>
        <w:tc>
          <w:tcPr>
            <w:tcW w:type="dxa" w:w="2340"/>
          </w:tcPr>
          <w:p>
            <w:r>
              <w:t xml:space="preserve">   -4.70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76.90</w:t>
            </w:r>
          </w:p>
        </w:tc>
        <w:tc>
          <w:tcPr>
            <w:tcW w:type="dxa" w:w="2340"/>
          </w:tcPr>
          <w:p>
            <w:r>
              <w:t xml:space="preserve">   64.36</w:t>
            </w:r>
          </w:p>
        </w:tc>
        <w:tc>
          <w:tcPr>
            <w:tcW w:type="dxa" w:w="2340"/>
          </w:tcPr>
          <w:p>
            <w:r>
              <w:t xml:space="preserve">  -16.30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60.88</w:t>
            </w:r>
          </w:p>
        </w:tc>
        <w:tc>
          <w:tcPr>
            <w:tcW w:type="dxa" w:w="2340"/>
          </w:tcPr>
          <w:p>
            <w:r>
              <w:t xml:space="preserve">   57.52</w:t>
            </w:r>
          </w:p>
        </w:tc>
        <w:tc>
          <w:tcPr>
            <w:tcW w:type="dxa" w:w="2340"/>
          </w:tcPr>
          <w:p>
            <w:r>
              <w:t xml:space="preserve">   -5.52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1.25</w:t>
            </w:r>
          </w:p>
        </w:tc>
        <w:tc>
          <w:tcPr>
            <w:tcW w:type="dxa" w:w="2340"/>
          </w:tcPr>
          <w:p>
            <w:r>
              <w:t xml:space="preserve">    1.18</w:t>
            </w:r>
          </w:p>
        </w:tc>
        <w:tc>
          <w:tcPr>
            <w:tcW w:type="dxa" w:w="2340"/>
          </w:tcPr>
          <w:p>
            <w:r>
              <w:t xml:space="preserve">   -5.14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1.93</w:t>
            </w:r>
          </w:p>
        </w:tc>
        <w:tc>
          <w:tcPr>
            <w:tcW w:type="dxa" w:w="2340"/>
          </w:tcPr>
          <w:p>
            <w:r>
              <w:t xml:space="preserve">    1.74</w:t>
            </w:r>
          </w:p>
        </w:tc>
        <w:tc>
          <w:tcPr>
            <w:tcW w:type="dxa" w:w="2340"/>
          </w:tcPr>
          <w:p>
            <w:r>
              <w:t xml:space="preserve">   -9.74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1.23</w:t>
            </w:r>
          </w:p>
        </w:tc>
        <w:tc>
          <w:tcPr>
            <w:tcW w:type="dxa" w:w="2340"/>
          </w:tcPr>
          <w:p>
            <w:r>
              <w:t xml:space="preserve">    1.15</w:t>
            </w:r>
          </w:p>
        </w:tc>
        <w:tc>
          <w:tcPr>
            <w:tcW w:type="dxa" w:w="2340"/>
          </w:tcPr>
          <w:p>
            <w:r>
              <w:t xml:space="preserve">   -6.45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0.98</w:t>
            </w:r>
          </w:p>
        </w:tc>
        <w:tc>
          <w:tcPr>
            <w:tcW w:type="dxa" w:w="2340"/>
          </w:tcPr>
          <w:p>
            <w:r>
              <w:t xml:space="preserve">    0.92</w:t>
            </w:r>
          </w:p>
        </w:tc>
        <w:tc>
          <w:tcPr>
            <w:tcW w:type="dxa" w:w="2340"/>
          </w:tcPr>
          <w:p>
            <w:r>
              <w:t xml:space="preserve">   -5.33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821.42</w:t>
            </w:r>
          </w:p>
        </w:tc>
        <w:tc>
          <w:tcPr>
            <w:tcW w:type="dxa" w:w="2340"/>
          </w:tcPr>
          <w:p>
            <w:r>
              <w:t xml:space="preserve">  793.95</w:t>
            </w:r>
          </w:p>
        </w:tc>
        <w:tc>
          <w:tcPr>
            <w:tcW w:type="dxa" w:w="2340"/>
          </w:tcPr>
          <w:p>
            <w:r>
              <w:t xml:space="preserve">   -3.34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742.78</w:t>
            </w:r>
          </w:p>
        </w:tc>
        <w:tc>
          <w:tcPr>
            <w:tcW w:type="dxa" w:w="2340"/>
          </w:tcPr>
          <w:p>
            <w:r>
              <w:t xml:space="preserve">  731.89</w:t>
            </w:r>
          </w:p>
        </w:tc>
        <w:tc>
          <w:tcPr>
            <w:tcW w:type="dxa" w:w="2340"/>
          </w:tcPr>
          <w:p>
            <w:r>
              <w:t xml:space="preserve">   -1.47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817.86</w:t>
            </w:r>
          </w:p>
        </w:tc>
        <w:tc>
          <w:tcPr>
            <w:tcW w:type="dxa" w:w="2340"/>
          </w:tcPr>
          <w:p>
            <w:r>
              <w:t xml:space="preserve">  755.00</w:t>
            </w:r>
          </w:p>
        </w:tc>
        <w:tc>
          <w:tcPr>
            <w:tcW w:type="dxa" w:w="2340"/>
          </w:tcPr>
          <w:p>
            <w:r>
              <w:t xml:space="preserve">   -7.69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745.36</w:t>
            </w:r>
          </w:p>
        </w:tc>
        <w:tc>
          <w:tcPr>
            <w:tcW w:type="dxa" w:w="2340"/>
          </w:tcPr>
          <w:p>
            <w:r>
              <w:t xml:space="preserve">  666.49</w:t>
            </w:r>
          </w:p>
        </w:tc>
        <w:tc>
          <w:tcPr>
            <w:tcW w:type="dxa" w:w="2340"/>
          </w:tcPr>
          <w:p>
            <w:r>
              <w:t xml:space="preserve">  -10.58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615.19</w:t>
            </w:r>
          </w:p>
        </w:tc>
        <w:tc>
          <w:tcPr>
            <w:tcW w:type="dxa" w:w="2340"/>
          </w:tcPr>
          <w:p>
            <w:r>
              <w:t xml:space="preserve">  551.31</w:t>
            </w:r>
          </w:p>
        </w:tc>
        <w:tc>
          <w:tcPr>
            <w:tcW w:type="dxa" w:w="2340"/>
          </w:tcPr>
          <w:p>
            <w:r>
              <w:t xml:space="preserve">  -10.38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548.30</w:t>
            </w:r>
          </w:p>
        </w:tc>
        <w:tc>
          <w:tcPr>
            <w:tcW w:type="dxa" w:w="2340"/>
          </w:tcPr>
          <w:p>
            <w:r>
              <w:t xml:space="preserve">  457.21</w:t>
            </w:r>
          </w:p>
        </w:tc>
        <w:tc>
          <w:tcPr>
            <w:tcW w:type="dxa" w:w="2340"/>
          </w:tcPr>
          <w:p>
            <w:r>
              <w:t xml:space="preserve">  -16.61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504.77</w:t>
            </w:r>
          </w:p>
        </w:tc>
        <w:tc>
          <w:tcPr>
            <w:tcW w:type="dxa" w:w="2340"/>
          </w:tcPr>
          <w:p>
            <w:r>
              <w:t xml:space="preserve">  410.88</w:t>
            </w:r>
          </w:p>
        </w:tc>
        <w:tc>
          <w:tcPr>
            <w:tcW w:type="dxa" w:w="2340"/>
          </w:tcPr>
          <w:p>
            <w:r>
              <w:t xml:space="preserve">  -18.60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447.63</w:t>
            </w:r>
          </w:p>
        </w:tc>
        <w:tc>
          <w:tcPr>
            <w:tcW w:type="dxa" w:w="2340"/>
          </w:tcPr>
          <w:p>
            <w:r>
              <w:t xml:space="preserve">  353.01</w:t>
            </w:r>
          </w:p>
        </w:tc>
        <w:tc>
          <w:tcPr>
            <w:tcW w:type="dxa" w:w="2340"/>
          </w:tcPr>
          <w:p>
            <w:r>
              <w:t xml:space="preserve">  -21.14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518.28</w:t>
            </w:r>
          </w:p>
        </w:tc>
        <w:tc>
          <w:tcPr>
            <w:tcW w:type="dxa" w:w="2340"/>
          </w:tcPr>
          <w:p>
            <w:r>
              <w:t xml:space="preserve">  412.63</w:t>
            </w:r>
          </w:p>
        </w:tc>
        <w:tc>
          <w:tcPr>
            <w:tcW w:type="dxa" w:w="2340"/>
          </w:tcPr>
          <w:p>
            <w:r>
              <w:t xml:space="preserve">  -20.39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407.38</w:t>
            </w:r>
          </w:p>
        </w:tc>
        <w:tc>
          <w:tcPr>
            <w:tcW w:type="dxa" w:w="2340"/>
          </w:tcPr>
          <w:p>
            <w:r>
              <w:t xml:space="preserve">  400.35</w:t>
            </w:r>
          </w:p>
        </w:tc>
        <w:tc>
          <w:tcPr>
            <w:tcW w:type="dxa" w:w="2340"/>
          </w:tcPr>
          <w:p>
            <w:r>
              <w:t xml:space="preserve">   -1.73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502.23</w:t>
            </w:r>
          </w:p>
        </w:tc>
        <w:tc>
          <w:tcPr>
            <w:tcW w:type="dxa" w:w="2340"/>
          </w:tcPr>
          <w:p>
            <w:r>
              <w:t xml:space="preserve">  474.83</w:t>
            </w:r>
          </w:p>
        </w:tc>
        <w:tc>
          <w:tcPr>
            <w:tcW w:type="dxa" w:w="2340"/>
          </w:tcPr>
          <w:p>
            <w:r>
              <w:t xml:space="preserve">   -5.46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680.17</w:t>
            </w:r>
          </w:p>
        </w:tc>
        <w:tc>
          <w:tcPr>
            <w:tcW w:type="dxa" w:w="2340"/>
          </w:tcPr>
          <w:p>
            <w:r>
              <w:t xml:space="preserve">  638.90</w:t>
            </w:r>
          </w:p>
        </w:tc>
        <w:tc>
          <w:tcPr>
            <w:tcW w:type="dxa" w:w="2340"/>
          </w:tcPr>
          <w:p>
            <w:r>
              <w:t xml:space="preserve">   -6.07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492.79</w:t>
            </w:r>
          </w:p>
        </w:tc>
        <w:tc>
          <w:tcPr>
            <w:tcW w:type="dxa" w:w="2340"/>
          </w:tcPr>
          <w:p>
            <w:r>
              <w:t xml:space="preserve">  495.68</w:t>
            </w:r>
          </w:p>
        </w:tc>
        <w:tc>
          <w:tcPr>
            <w:tcW w:type="dxa" w:w="2340"/>
          </w:tcPr>
          <w:p>
            <w:r>
              <w:t xml:space="preserve">    0.59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534.83</w:t>
            </w:r>
          </w:p>
        </w:tc>
        <w:tc>
          <w:tcPr>
            <w:tcW w:type="dxa" w:w="2340"/>
          </w:tcPr>
          <w:p>
            <w:r>
              <w:t xml:space="preserve">  537.54</w:t>
            </w:r>
          </w:p>
        </w:tc>
        <w:tc>
          <w:tcPr>
            <w:tcW w:type="dxa" w:w="2340"/>
          </w:tcPr>
          <w:p>
            <w:r>
              <w:t xml:space="preserve">    0.51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561.13</w:t>
            </w:r>
          </w:p>
        </w:tc>
        <w:tc>
          <w:tcPr>
            <w:tcW w:type="dxa" w:w="2340"/>
          </w:tcPr>
          <w:p>
            <w:r>
              <w:t xml:space="preserve">  541.99</w:t>
            </w:r>
          </w:p>
        </w:tc>
        <w:tc>
          <w:tcPr>
            <w:tcW w:type="dxa" w:w="2340"/>
          </w:tcPr>
          <w:p>
            <w:r>
              <w:t xml:space="preserve">   -3.41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556.96</w:t>
            </w:r>
          </w:p>
        </w:tc>
        <w:tc>
          <w:tcPr>
            <w:tcW w:type="dxa" w:w="2340"/>
          </w:tcPr>
          <w:p>
            <w:r>
              <w:t xml:space="preserve">  532.93</w:t>
            </w:r>
          </w:p>
        </w:tc>
        <w:tc>
          <w:tcPr>
            <w:tcW w:type="dxa" w:w="2340"/>
          </w:tcPr>
          <w:p>
            <w:r>
              <w:t xml:space="preserve">   -4.31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443.91</w:t>
            </w:r>
          </w:p>
        </w:tc>
        <w:tc>
          <w:tcPr>
            <w:tcW w:type="dxa" w:w="2340"/>
          </w:tcPr>
          <w:p>
            <w:r>
              <w:t xml:space="preserve">  436.82</w:t>
            </w:r>
          </w:p>
        </w:tc>
        <w:tc>
          <w:tcPr>
            <w:tcW w:type="dxa" w:w="2340"/>
          </w:tcPr>
          <w:p>
            <w:r>
              <w:t xml:space="preserve">   -1.60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362.13</w:t>
            </w:r>
          </w:p>
        </w:tc>
        <w:tc>
          <w:tcPr>
            <w:tcW w:type="dxa" w:w="2340"/>
          </w:tcPr>
          <w:p>
            <w:r>
              <w:t xml:space="preserve">  366.97</w:t>
            </w:r>
          </w:p>
        </w:tc>
        <w:tc>
          <w:tcPr>
            <w:tcW w:type="dxa" w:w="2340"/>
          </w:tcPr>
          <w:p>
            <w:r>
              <w:t xml:space="preserve">    1.34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320.48</w:t>
            </w:r>
          </w:p>
        </w:tc>
        <w:tc>
          <w:tcPr>
            <w:tcW w:type="dxa" w:w="2340"/>
          </w:tcPr>
          <w:p>
            <w:r>
              <w:t xml:space="preserve">  320.63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279.13</w:t>
            </w:r>
          </w:p>
        </w:tc>
        <w:tc>
          <w:tcPr>
            <w:tcW w:type="dxa" w:w="2340"/>
          </w:tcPr>
          <w:p>
            <w:r>
              <w:t xml:space="preserve">  281.73</w:t>
            </w:r>
          </w:p>
        </w:tc>
        <w:tc>
          <w:tcPr>
            <w:tcW w:type="dxa" w:w="2340"/>
          </w:tcPr>
          <w:p>
            <w:r>
              <w:t xml:space="preserve">    0.93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257.65</w:t>
            </w:r>
          </w:p>
        </w:tc>
        <w:tc>
          <w:tcPr>
            <w:tcW w:type="dxa" w:w="2340"/>
          </w:tcPr>
          <w:p>
            <w:r>
              <w:t xml:space="preserve">  258.98</w:t>
            </w:r>
          </w:p>
        </w:tc>
        <w:tc>
          <w:tcPr>
            <w:tcW w:type="dxa" w:w="2340"/>
          </w:tcPr>
          <w:p>
            <w:r>
              <w:t xml:space="preserve">    0.51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267.00</w:t>
            </w:r>
          </w:p>
        </w:tc>
        <w:tc>
          <w:tcPr>
            <w:tcW w:type="dxa" w:w="2340"/>
          </w:tcPr>
          <w:p>
            <w:r>
              <w:t xml:space="preserve">  281.81</w:t>
            </w:r>
          </w:p>
        </w:tc>
        <w:tc>
          <w:tcPr>
            <w:tcW w:type="dxa" w:w="2340"/>
          </w:tcPr>
          <w:p>
            <w:r>
              <w:t xml:space="preserve">    5.55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298.70</w:t>
            </w:r>
          </w:p>
        </w:tc>
        <w:tc>
          <w:tcPr>
            <w:tcW w:type="dxa" w:w="2340"/>
          </w:tcPr>
          <w:p>
            <w:r>
              <w:t xml:space="preserve">  312.00</w:t>
            </w:r>
          </w:p>
        </w:tc>
        <w:tc>
          <w:tcPr>
            <w:tcW w:type="dxa" w:w="2340"/>
          </w:tcPr>
          <w:p>
            <w:r>
              <w:t xml:space="preserve">    4.45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420.48</w:t>
            </w:r>
          </w:p>
        </w:tc>
        <w:tc>
          <w:tcPr>
            <w:tcW w:type="dxa" w:w="2340"/>
          </w:tcPr>
          <w:p>
            <w:r>
              <w:t xml:space="preserve">  425.56</w:t>
            </w:r>
          </w:p>
        </w:tc>
        <w:tc>
          <w:tcPr>
            <w:tcW w:type="dxa" w:w="2340"/>
          </w:tcPr>
          <w:p>
            <w:r>
              <w:t xml:space="preserve">    1.21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55.86</w:t>
            </w:r>
          </w:p>
        </w:tc>
        <w:tc>
          <w:tcPr>
            <w:tcW w:type="dxa" w:w="2340"/>
          </w:tcPr>
          <w:p>
            <w:r>
              <w:t xml:space="preserve">   52.28</w:t>
            </w:r>
          </w:p>
        </w:tc>
        <w:tc>
          <w:tcPr>
            <w:tcW w:type="dxa" w:w="2340"/>
          </w:tcPr>
          <w:p>
            <w:r>
              <w:t xml:space="preserve">   -6.41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0.36</w:t>
            </w:r>
          </w:p>
        </w:tc>
        <w:tc>
          <w:tcPr>
            <w:tcW w:type="dxa" w:w="2340"/>
          </w:tcPr>
          <w:p>
            <w:r>
              <w:t xml:space="preserve">    0.36</w:t>
            </w:r>
          </w:p>
        </w:tc>
        <w:tc>
          <w:tcPr>
            <w:tcW w:type="dxa" w:w="2340"/>
          </w:tcPr>
          <w:p>
            <w:r>
              <w:t xml:space="preserve">    0.76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>
              <w:t xml:space="preserve">    7.31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0.34</w:t>
            </w:r>
          </w:p>
        </w:tc>
        <w:tc>
          <w:tcPr>
            <w:tcW w:type="dxa" w:w="2340"/>
          </w:tcPr>
          <w:p>
            <w:r>
              <w:t xml:space="preserve">    0.34</w:t>
            </w:r>
          </w:p>
        </w:tc>
        <w:tc>
          <w:tcPr>
            <w:tcW w:type="dxa" w:w="2340"/>
          </w:tcPr>
          <w:p>
            <w:r>
              <w:t xml:space="preserve">    0.59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0.72</w:t>
            </w:r>
          </w:p>
        </w:tc>
        <w:tc>
          <w:tcPr>
            <w:tcW w:type="dxa" w:w="2340"/>
          </w:tcPr>
          <w:p>
            <w:r>
              <w:t xml:space="preserve">    0.79</w:t>
            </w:r>
          </w:p>
        </w:tc>
        <w:tc>
          <w:tcPr>
            <w:tcW w:type="dxa" w:w="2340"/>
          </w:tcPr>
          <w:p>
            <w:r>
              <w:t xml:space="preserve">    9.87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1.89</w:t>
            </w:r>
          </w:p>
        </w:tc>
        <w:tc>
          <w:tcPr>
            <w:tcW w:type="dxa" w:w="2340"/>
          </w:tcPr>
          <w:p>
            <w:r>
              <w:t xml:space="preserve">    1.90</w:t>
            </w:r>
          </w:p>
        </w:tc>
        <w:tc>
          <w:tcPr>
            <w:tcW w:type="dxa" w:w="2340"/>
          </w:tcPr>
          <w:p>
            <w:r>
              <w:t xml:space="preserve">    0.57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244.66</w:t>
            </w:r>
          </w:p>
        </w:tc>
        <w:tc>
          <w:tcPr>
            <w:tcW w:type="dxa" w:w="2340"/>
          </w:tcPr>
          <w:p>
            <w:r>
              <w:t xml:space="preserve">  174.75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265.50</w:t>
            </w:r>
          </w:p>
        </w:tc>
        <w:tc>
          <w:tcPr>
            <w:tcW w:type="dxa" w:w="2340"/>
          </w:tcPr>
          <w:p>
            <w:r>
              <w:t xml:space="preserve">  242.90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85.58</w:t>
            </w:r>
          </w:p>
        </w:tc>
        <w:tc>
          <w:tcPr>
            <w:tcW w:type="dxa" w:w="2340"/>
          </w:tcPr>
          <w:p>
            <w:r>
              <w:t xml:space="preserve">   41.51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370.15</w:t>
            </w:r>
          </w:p>
        </w:tc>
        <w:tc>
          <w:tcPr>
            <w:tcW w:type="dxa" w:w="2340"/>
          </w:tcPr>
          <w:p>
            <w:r>
              <w:t xml:space="preserve">  296.89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0.25</w:t>
            </w:r>
          </w:p>
        </w:tc>
        <w:tc>
          <w:tcPr>
            <w:tcW w:type="dxa" w:w="2340"/>
          </w:tcPr>
          <w:p>
            <w:r>
              <w:t xml:space="preserve">    0.19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104.92</w:t>
            </w:r>
          </w:p>
        </w:tc>
        <w:tc>
          <w:tcPr>
            <w:tcW w:type="dxa" w:w="2340"/>
          </w:tcPr>
          <w:p>
            <w:r>
              <w:t xml:space="preserve">   68.08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17.42</w:t>
            </w:r>
          </w:p>
        </w:tc>
        <w:tc>
          <w:tcPr>
            <w:tcW w:type="dxa" w:w="2340"/>
          </w:tcPr>
          <w:p>
            <w:r>
              <w:t xml:space="preserve">   20.03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3" name="Picture 1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2_02177000_daily.pn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03060102-13: Daily flow for HSFP reach 22 and USGS station 02177000.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4" name="Picture 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2_02177000_daily_fdc.pn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03060102-14: Daily exceedance for HSFP reach 22 and USGS station 02177000.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5" name="Picture 1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2_02177000_monthly.png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03060102-15: Monthly flow for HSFP reach 22 and USGS station 02177000.</w:t>
      </w:r>
    </w:p>
    <w:p>
      <w:pPr>
        <w:pStyle w:val="Heading2"/>
      </w:pPr>
      <w:r>
        <w:t>HSPF Reach 24, USGS Gauge 02181580</w:t>
      </w:r>
    </w:p>
    <w:p>
      <w:pPr>
        <w:pStyle w:val="Caption-Table"/>
      </w:pPr>
      <w:r>
        <w:t>Table 03060102-9: Comparison Statistics Between HSPF Reach 24 and USGS Gauge 02181580.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234.67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304.20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4.03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5.15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-25.55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-9.49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0.08</w:t>
            </w:r>
          </w:p>
        </w:tc>
      </w:tr>
    </w:tbl>
    <w:p>
      <w:pPr>
        <w:pStyle w:val="Caption-Table"/>
      </w:pPr>
      <w:r>
        <w:t>Table 03060102-10: Hydrologic Indices Between USGS Gauge 02181580 and HSPF Reach 24.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02181580</w:t>
            </w:r>
          </w:p>
        </w:tc>
        <w:tc>
          <w:tcPr>
            <w:tcW w:type="dxa" w:w="2340"/>
          </w:tcPr>
          <w:p>
            <w:r>
              <w:t>Simulated</w:t>
              <w:br/>
              <w:t>Reach 24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 58.29</w:t>
            </w:r>
          </w:p>
        </w:tc>
        <w:tc>
          <w:tcPr>
            <w:tcW w:type="dxa" w:w="2340"/>
          </w:tcPr>
          <w:p>
            <w:r>
              <w:t xml:space="preserve">  290.79</w:t>
            </w:r>
          </w:p>
        </w:tc>
        <w:tc>
          <w:tcPr>
            <w:tcW w:type="dxa" w:w="2340"/>
          </w:tcPr>
          <w:p>
            <w:r>
              <w:t xml:space="preserve">  398.84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41.00</w:t>
            </w:r>
          </w:p>
        </w:tc>
        <w:tc>
          <w:tcPr>
            <w:tcW w:type="dxa" w:w="2340"/>
          </w:tcPr>
          <w:p>
            <w:r>
              <w:t xml:space="preserve">  233.83</w:t>
            </w:r>
          </w:p>
        </w:tc>
        <w:tc>
          <w:tcPr>
            <w:tcW w:type="dxa" w:w="2340"/>
          </w:tcPr>
          <w:p>
            <w:r>
              <w:t xml:space="preserve">  470.31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164.33</w:t>
            </w:r>
          </w:p>
        </w:tc>
        <w:tc>
          <w:tcPr>
            <w:tcW w:type="dxa" w:w="2340"/>
          </w:tcPr>
          <w:p>
            <w:r>
              <w:t xml:space="preserve">   75.29</w:t>
            </w:r>
          </w:p>
        </w:tc>
        <w:tc>
          <w:tcPr>
            <w:tcW w:type="dxa" w:w="2340"/>
          </w:tcPr>
          <w:p>
            <w:r>
              <w:t xml:space="preserve">  -54.19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46.70</w:t>
            </w:r>
          </w:p>
        </w:tc>
        <w:tc>
          <w:tcPr>
            <w:tcW w:type="dxa" w:w="2340"/>
          </w:tcPr>
          <w:p>
            <w:r>
              <w:t xml:space="preserve">   61.56</w:t>
            </w:r>
          </w:p>
        </w:tc>
        <w:tc>
          <w:tcPr>
            <w:tcW w:type="dxa" w:w="2340"/>
          </w:tcPr>
          <w:p>
            <w:r>
              <w:t xml:space="preserve">   31.82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1.42</w:t>
            </w:r>
          </w:p>
        </w:tc>
        <w:tc>
          <w:tcPr>
            <w:tcW w:type="dxa" w:w="2340"/>
          </w:tcPr>
          <w:p>
            <w:r>
              <w:t xml:space="preserve">    1.24</w:t>
            </w:r>
          </w:p>
        </w:tc>
        <w:tc>
          <w:tcPr>
            <w:tcW w:type="dxa" w:w="2340"/>
          </w:tcPr>
          <w:p>
            <w:r>
              <w:t xml:space="preserve">  -12.53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0.78</w:t>
            </w:r>
          </w:p>
        </w:tc>
        <w:tc>
          <w:tcPr>
            <w:tcW w:type="dxa" w:w="2340"/>
          </w:tcPr>
          <w:p>
            <w:r>
              <w:t xml:space="preserve">    1.96</w:t>
            </w:r>
          </w:p>
        </w:tc>
        <w:tc>
          <w:tcPr>
            <w:tcW w:type="dxa" w:w="2340"/>
          </w:tcPr>
          <w:p>
            <w:r>
              <w:t xml:space="preserve">  150.84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>
              <w:t xml:space="preserve">    1.15</w:t>
            </w:r>
          </w:p>
        </w:tc>
        <w:tc>
          <w:tcPr>
            <w:tcW w:type="dxa" w:w="2340"/>
          </w:tcPr>
          <w:p>
            <w:r>
              <w:t xml:space="preserve">  291.75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0.22</w:t>
            </w:r>
          </w:p>
        </w:tc>
        <w:tc>
          <w:tcPr>
            <w:tcW w:type="dxa" w:w="2340"/>
          </w:tcPr>
          <w:p>
            <w:r>
              <w:t xml:space="preserve">    0.86</w:t>
            </w:r>
          </w:p>
        </w:tc>
        <w:tc>
          <w:tcPr>
            <w:tcW w:type="dxa" w:w="2340"/>
          </w:tcPr>
          <w:p>
            <w:r>
              <w:t xml:space="preserve">  290.56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 41.89</w:t>
            </w:r>
          </w:p>
        </w:tc>
        <w:tc>
          <w:tcPr>
            <w:tcW w:type="dxa" w:w="2340"/>
          </w:tcPr>
          <w:p>
            <w:r>
              <w:t xml:space="preserve">  422.46</w:t>
            </w:r>
          </w:p>
        </w:tc>
        <w:tc>
          <w:tcPr>
            <w:tcW w:type="dxa" w:w="2340"/>
          </w:tcPr>
          <w:p>
            <w:r>
              <w:t xml:space="preserve">  908.56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 38.17</w:t>
            </w:r>
          </w:p>
        </w:tc>
        <w:tc>
          <w:tcPr>
            <w:tcW w:type="dxa" w:w="2340"/>
          </w:tcPr>
          <w:p>
            <w:r>
              <w:t xml:space="preserve">  400.91</w:t>
            </w:r>
          </w:p>
        </w:tc>
        <w:tc>
          <w:tcPr>
            <w:tcW w:type="dxa" w:w="2340"/>
          </w:tcPr>
          <w:p>
            <w:r>
              <w:t xml:space="preserve">  950.41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 44.93</w:t>
            </w:r>
          </w:p>
        </w:tc>
        <w:tc>
          <w:tcPr>
            <w:tcW w:type="dxa" w:w="2340"/>
          </w:tcPr>
          <w:p>
            <w:r>
              <w:t xml:space="preserve">  362.47</w:t>
            </w:r>
          </w:p>
        </w:tc>
        <w:tc>
          <w:tcPr>
            <w:tcW w:type="dxa" w:w="2340"/>
          </w:tcPr>
          <w:p>
            <w:r>
              <w:t xml:space="preserve">  706.74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 77.33</w:t>
            </w:r>
          </w:p>
        </w:tc>
        <w:tc>
          <w:tcPr>
            <w:tcW w:type="dxa" w:w="2340"/>
          </w:tcPr>
          <w:p>
            <w:r>
              <w:t xml:space="preserve">  336.07</w:t>
            </w:r>
          </w:p>
        </w:tc>
        <w:tc>
          <w:tcPr>
            <w:tcW w:type="dxa" w:w="2340"/>
          </w:tcPr>
          <w:p>
            <w:r>
              <w:t xml:space="preserve">  334.60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53.53</w:t>
            </w:r>
          </w:p>
        </w:tc>
        <w:tc>
          <w:tcPr>
            <w:tcW w:type="dxa" w:w="2340"/>
          </w:tcPr>
          <w:p>
            <w:r>
              <w:t xml:space="preserve">  280.21</w:t>
            </w:r>
          </w:p>
        </w:tc>
        <w:tc>
          <w:tcPr>
            <w:tcW w:type="dxa" w:w="2340"/>
          </w:tcPr>
          <w:p>
            <w:r>
              <w:t xml:space="preserve">  423.47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37.86</w:t>
            </w:r>
          </w:p>
        </w:tc>
        <w:tc>
          <w:tcPr>
            <w:tcW w:type="dxa" w:w="2340"/>
          </w:tcPr>
          <w:p>
            <w:r>
              <w:t xml:space="preserve">  219.72</w:t>
            </w:r>
          </w:p>
        </w:tc>
        <w:tc>
          <w:tcPr>
            <w:tcW w:type="dxa" w:w="2340"/>
          </w:tcPr>
          <w:p>
            <w:r>
              <w:t xml:space="preserve">  480.39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42.01</w:t>
            </w:r>
          </w:p>
        </w:tc>
        <w:tc>
          <w:tcPr>
            <w:tcW w:type="dxa" w:w="2340"/>
          </w:tcPr>
          <w:p>
            <w:r>
              <w:t xml:space="preserve">  212.11</w:t>
            </w:r>
          </w:p>
        </w:tc>
        <w:tc>
          <w:tcPr>
            <w:tcW w:type="dxa" w:w="2340"/>
          </w:tcPr>
          <w:p>
            <w:r>
              <w:t xml:space="preserve">  404.95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50.89</w:t>
            </w:r>
          </w:p>
        </w:tc>
        <w:tc>
          <w:tcPr>
            <w:tcW w:type="dxa" w:w="2340"/>
          </w:tcPr>
          <w:p>
            <w:r>
              <w:t xml:space="preserve">  166.81</w:t>
            </w:r>
          </w:p>
        </w:tc>
        <w:tc>
          <w:tcPr>
            <w:tcW w:type="dxa" w:w="2340"/>
          </w:tcPr>
          <w:p>
            <w:r>
              <w:t xml:space="preserve">  227.79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110.90</w:t>
            </w:r>
          </w:p>
        </w:tc>
        <w:tc>
          <w:tcPr>
            <w:tcW w:type="dxa" w:w="2340"/>
          </w:tcPr>
          <w:p>
            <w:r>
              <w:t xml:space="preserve">  183.32</w:t>
            </w:r>
          </w:p>
        </w:tc>
        <w:tc>
          <w:tcPr>
            <w:tcW w:type="dxa" w:w="2340"/>
          </w:tcPr>
          <w:p>
            <w:r>
              <w:t xml:space="preserve">   65.30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55.24</w:t>
            </w:r>
          </w:p>
        </w:tc>
        <w:tc>
          <w:tcPr>
            <w:tcW w:type="dxa" w:w="2340"/>
          </w:tcPr>
          <w:p>
            <w:r>
              <w:t xml:space="preserve">  172.52</w:t>
            </w:r>
          </w:p>
        </w:tc>
        <w:tc>
          <w:tcPr>
            <w:tcW w:type="dxa" w:w="2340"/>
          </w:tcPr>
          <w:p>
            <w:r>
              <w:t xml:space="preserve">  212.29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72.64</w:t>
            </w:r>
          </w:p>
        </w:tc>
        <w:tc>
          <w:tcPr>
            <w:tcW w:type="dxa" w:w="2340"/>
          </w:tcPr>
          <w:p>
            <w:r>
              <w:t xml:space="preserve">  237.31</w:t>
            </w:r>
          </w:p>
        </w:tc>
        <w:tc>
          <w:tcPr>
            <w:tcW w:type="dxa" w:w="2340"/>
          </w:tcPr>
          <w:p>
            <w:r>
              <w:t xml:space="preserve">  226.67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42.52</w:t>
            </w:r>
          </w:p>
        </w:tc>
        <w:tc>
          <w:tcPr>
            <w:tcW w:type="dxa" w:w="2340"/>
          </w:tcPr>
          <w:p>
            <w:r>
              <w:t xml:space="preserve">  365.84</w:t>
            </w:r>
          </w:p>
        </w:tc>
        <w:tc>
          <w:tcPr>
            <w:tcW w:type="dxa" w:w="2340"/>
          </w:tcPr>
          <w:p>
            <w:r>
              <w:t xml:space="preserve">  760.37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35.03</w:t>
            </w:r>
          </w:p>
        </w:tc>
        <w:tc>
          <w:tcPr>
            <w:tcW w:type="dxa" w:w="2340"/>
          </w:tcPr>
          <w:p>
            <w:r>
              <w:t xml:space="preserve">  257.70</w:t>
            </w:r>
          </w:p>
        </w:tc>
        <w:tc>
          <w:tcPr>
            <w:tcW w:type="dxa" w:w="2340"/>
          </w:tcPr>
          <w:p>
            <w:r>
              <w:t xml:space="preserve">  635.67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34.38</w:t>
            </w:r>
          </w:p>
        </w:tc>
        <w:tc>
          <w:tcPr>
            <w:tcW w:type="dxa" w:w="2340"/>
          </w:tcPr>
          <w:p>
            <w:r>
              <w:t xml:space="preserve">  281.10</w:t>
            </w:r>
          </w:p>
        </w:tc>
        <w:tc>
          <w:tcPr>
            <w:tcW w:type="dxa" w:w="2340"/>
          </w:tcPr>
          <w:p>
            <w:r>
              <w:t xml:space="preserve">  717.75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36.06</w:t>
            </w:r>
          </w:p>
        </w:tc>
        <w:tc>
          <w:tcPr>
            <w:tcW w:type="dxa" w:w="2340"/>
          </w:tcPr>
          <w:p>
            <w:r>
              <w:t xml:space="preserve">  264.21</w:t>
            </w:r>
          </w:p>
        </w:tc>
        <w:tc>
          <w:tcPr>
            <w:tcW w:type="dxa" w:w="2340"/>
          </w:tcPr>
          <w:p>
            <w:r>
              <w:t xml:space="preserve">  632.64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35.44</w:t>
            </w:r>
          </w:p>
        </w:tc>
        <w:tc>
          <w:tcPr>
            <w:tcW w:type="dxa" w:w="2340"/>
          </w:tcPr>
          <w:p>
            <w:r>
              <w:t xml:space="preserve">  257.18</w:t>
            </w:r>
          </w:p>
        </w:tc>
        <w:tc>
          <w:tcPr>
            <w:tcW w:type="dxa" w:w="2340"/>
          </w:tcPr>
          <w:p>
            <w:r>
              <w:t xml:space="preserve">  625.72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35.00</w:t>
            </w:r>
          </w:p>
        </w:tc>
        <w:tc>
          <w:tcPr>
            <w:tcW w:type="dxa" w:w="2340"/>
          </w:tcPr>
          <w:p>
            <w:r>
              <w:t xml:space="preserve">  217.08</w:t>
            </w:r>
          </w:p>
        </w:tc>
        <w:tc>
          <w:tcPr>
            <w:tcW w:type="dxa" w:w="2340"/>
          </w:tcPr>
          <w:p>
            <w:r>
              <w:t xml:space="preserve">  520.23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35.94</w:t>
            </w:r>
          </w:p>
        </w:tc>
        <w:tc>
          <w:tcPr>
            <w:tcW w:type="dxa" w:w="2340"/>
          </w:tcPr>
          <w:p>
            <w:r>
              <w:t xml:space="preserve">  185.50</w:t>
            </w:r>
          </w:p>
        </w:tc>
        <w:tc>
          <w:tcPr>
            <w:tcW w:type="dxa" w:w="2340"/>
          </w:tcPr>
          <w:p>
            <w:r>
              <w:t xml:space="preserve">  416.18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35.62</w:t>
            </w:r>
          </w:p>
        </w:tc>
        <w:tc>
          <w:tcPr>
            <w:tcW w:type="dxa" w:w="2340"/>
          </w:tcPr>
          <w:p>
            <w:r>
              <w:t xml:space="preserve">  162.14</w:t>
            </w:r>
          </w:p>
        </w:tc>
        <w:tc>
          <w:tcPr>
            <w:tcW w:type="dxa" w:w="2340"/>
          </w:tcPr>
          <w:p>
            <w:r>
              <w:t xml:space="preserve">  355.13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36.12</w:t>
            </w:r>
          </w:p>
        </w:tc>
        <w:tc>
          <w:tcPr>
            <w:tcW w:type="dxa" w:w="2340"/>
          </w:tcPr>
          <w:p>
            <w:r>
              <w:t xml:space="preserve">  132.43</w:t>
            </w:r>
          </w:p>
        </w:tc>
        <w:tc>
          <w:tcPr>
            <w:tcW w:type="dxa" w:w="2340"/>
          </w:tcPr>
          <w:p>
            <w:r>
              <w:t xml:space="preserve">  266.59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36.88</w:t>
            </w:r>
          </w:p>
        </w:tc>
        <w:tc>
          <w:tcPr>
            <w:tcW w:type="dxa" w:w="2340"/>
          </w:tcPr>
          <w:p>
            <w:r>
              <w:t xml:space="preserve">  108.99</w:t>
            </w:r>
          </w:p>
        </w:tc>
        <w:tc>
          <w:tcPr>
            <w:tcW w:type="dxa" w:w="2340"/>
          </w:tcPr>
          <w:p>
            <w:r>
              <w:t xml:space="preserve">  195.56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36.31</w:t>
            </w:r>
          </w:p>
        </w:tc>
        <w:tc>
          <w:tcPr>
            <w:tcW w:type="dxa" w:w="2340"/>
          </w:tcPr>
          <w:p>
            <w:r>
              <w:t xml:space="preserve">  139.85</w:t>
            </w:r>
          </w:p>
        </w:tc>
        <w:tc>
          <w:tcPr>
            <w:tcW w:type="dxa" w:w="2340"/>
          </w:tcPr>
          <w:p>
            <w:r>
              <w:t xml:space="preserve">  285.13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34.62</w:t>
            </w:r>
          </w:p>
        </w:tc>
        <w:tc>
          <w:tcPr>
            <w:tcW w:type="dxa" w:w="2340"/>
          </w:tcPr>
          <w:p>
            <w:r>
              <w:t xml:space="preserve">  160.55</w:t>
            </w:r>
          </w:p>
        </w:tc>
        <w:tc>
          <w:tcPr>
            <w:tcW w:type="dxa" w:w="2340"/>
          </w:tcPr>
          <w:p>
            <w:r>
              <w:t xml:space="preserve">  363.71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34.71</w:t>
            </w:r>
          </w:p>
        </w:tc>
        <w:tc>
          <w:tcPr>
            <w:tcW w:type="dxa" w:w="2340"/>
          </w:tcPr>
          <w:p>
            <w:r>
              <w:t xml:space="preserve">  214.88</w:t>
            </w:r>
          </w:p>
        </w:tc>
        <w:tc>
          <w:tcPr>
            <w:tcW w:type="dxa" w:w="2340"/>
          </w:tcPr>
          <w:p>
            <w:r>
              <w:t xml:space="preserve">  519.14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20.11</w:t>
            </w:r>
          </w:p>
        </w:tc>
        <w:tc>
          <w:tcPr>
            <w:tcW w:type="dxa" w:w="2340"/>
          </w:tcPr>
          <w:p>
            <w:r>
              <w:t xml:space="preserve">   50.40</w:t>
            </w:r>
          </w:p>
        </w:tc>
        <w:tc>
          <w:tcPr>
            <w:tcW w:type="dxa" w:w="2340"/>
          </w:tcPr>
          <w:p>
            <w:r>
              <w:t xml:space="preserve">  150.59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0.64</w:t>
            </w:r>
          </w:p>
        </w:tc>
        <w:tc>
          <w:tcPr>
            <w:tcW w:type="dxa" w:w="2340"/>
          </w:tcPr>
          <w:p>
            <w:r>
              <w:t xml:space="preserve">    0.36</w:t>
            </w:r>
          </w:p>
        </w:tc>
        <w:tc>
          <w:tcPr>
            <w:tcW w:type="dxa" w:w="2340"/>
          </w:tcPr>
          <w:p>
            <w:r>
              <w:t xml:space="preserve">  -43.72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0.46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>
              <w:t xml:space="preserve">  -37.06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0.69</w:t>
            </w:r>
          </w:p>
        </w:tc>
        <w:tc>
          <w:tcPr>
            <w:tcW w:type="dxa" w:w="2340"/>
          </w:tcPr>
          <w:p>
            <w:r>
              <w:t xml:space="preserve">    0.35</w:t>
            </w:r>
          </w:p>
        </w:tc>
        <w:tc>
          <w:tcPr>
            <w:tcW w:type="dxa" w:w="2340"/>
          </w:tcPr>
          <w:p>
            <w:r>
              <w:t xml:space="preserve">  -49.95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0.66</w:t>
            </w:r>
          </w:p>
        </w:tc>
        <w:tc>
          <w:tcPr>
            <w:tcW w:type="dxa" w:w="2340"/>
          </w:tcPr>
          <w:p>
            <w:r>
              <w:t xml:space="preserve">    0.78</w:t>
            </w:r>
          </w:p>
        </w:tc>
        <w:tc>
          <w:tcPr>
            <w:tcW w:type="dxa" w:w="2340"/>
          </w:tcPr>
          <w:p>
            <w:r>
              <w:t xml:space="preserve">   18.44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0.26</w:t>
            </w:r>
          </w:p>
        </w:tc>
        <w:tc>
          <w:tcPr>
            <w:tcW w:type="dxa" w:w="2340"/>
          </w:tcPr>
          <w:p>
            <w:r>
              <w:t xml:space="preserve">    0.90</w:t>
            </w:r>
          </w:p>
        </w:tc>
        <w:tc>
          <w:tcPr>
            <w:tcW w:type="dxa" w:w="2340"/>
          </w:tcPr>
          <w:p>
            <w:r>
              <w:t xml:space="preserve">  243.21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39.36</w:t>
            </w:r>
          </w:p>
        </w:tc>
        <w:tc>
          <w:tcPr>
            <w:tcW w:type="dxa" w:w="2340"/>
          </w:tcPr>
          <w:p>
            <w:r>
              <w:t xml:space="preserve">   99.79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708.35</w:t>
            </w:r>
          </w:p>
        </w:tc>
        <w:tc>
          <w:tcPr>
            <w:tcW w:type="dxa" w:w="2340"/>
          </w:tcPr>
          <w:p>
            <w:r>
              <w:t xml:space="preserve">  296.82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28.48</w:t>
            </w:r>
          </w:p>
        </w:tc>
        <w:tc>
          <w:tcPr>
            <w:tcW w:type="dxa" w:w="2340"/>
          </w:tcPr>
          <w:p>
            <w:r>
              <w:t xml:space="preserve">   25.65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769.06</w:t>
            </w:r>
          </w:p>
        </w:tc>
        <w:tc>
          <w:tcPr>
            <w:tcW w:type="dxa" w:w="2340"/>
          </w:tcPr>
          <w:p>
            <w:r>
              <w:t xml:space="preserve">  421.09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>
              <w:t xml:space="preserve">    0.18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123.29</w:t>
            </w:r>
          </w:p>
        </w:tc>
        <w:tc>
          <w:tcPr>
            <w:tcW w:type="dxa" w:w="2340"/>
          </w:tcPr>
          <w:p>
            <w:r>
              <w:t xml:space="preserve">   54.41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22.30</w:t>
            </w:r>
          </w:p>
        </w:tc>
        <w:tc>
          <w:tcPr>
            <w:tcW w:type="dxa" w:w="2340"/>
          </w:tcPr>
          <w:p>
            <w:r>
              <w:t xml:space="preserve">   34.74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6" name="Picture 1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4_02181580_daily.png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03060102-16: Daily flow for HSFP reach 24 and USGS station 02181580.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7" name="Picture 1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4_02181580_daily_fdc.png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03060102-17: Daily exceedance for HSFP reach 24 and USGS station 02181580.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8" name="Picture 1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4_02181580_monthly.png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03060102-18: Monthly flow for HSFP reach 24 and USGS station 02181580.</w:t>
      </w:r>
    </w:p>
    <w:sectPr w:rsidR="00044491" w:rsidRPr="00941F23" w:rsidSect="007149C4">
      <w:headerReference w:type="even" r:id="rId8"/>
      <w:headerReference w:type="default" r:id="rId9"/>
      <w:footerReference w:type="even" r:id="rId10"/>
      <w:footerReference w:type="default" r:id="rId11"/>
      <w:pgSz w:w="12240" w:h="15840" w:code="1"/>
      <w:pgMar w:top="1800" w:right="1440" w:bottom="1080" w:left="1440" w:header="1440" w:footer="108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A96565F" w14:textId="77777777" w:rsidR="00665643" w:rsidRDefault="00665643">
      <w:r>
        <w:separator/>
      </w:r>
    </w:p>
  </w:endnote>
  <w:endnote w:type="continuationSeparator" w:id="0">
    <w:p w14:paraId="2FA5FEEA" w14:textId="77777777" w:rsidR="00665643" w:rsidRDefault="00665643">
      <w:r>
        <w:continuationSeparator/>
      </w:r>
    </w:p>
  </w:endnote>
  <w:endnote w:type="continuationNotice" w:id="1">
    <w:p w14:paraId="0CC4CDB1" w14:textId="77777777" w:rsidR="00665643" w:rsidRDefault="0066564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Bold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NewCenturySchlbk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Palatino">
    <w:altName w:val="Book Antiqua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E14A59" w14:textId="77777777" w:rsidR="004C1EAE" w:rsidRPr="003A68DC" w:rsidRDefault="004C1EAE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rPr>
        <w:iCs/>
      </w:rPr>
      <w:tab/>
    </w:r>
    <w:r w:rsidRPr="42E36F0A">
      <w:t>St. Johns River Water Management District</w:t>
    </w:r>
  </w:p>
  <w:p w14:paraId="76EE2340" w14:textId="77777777" w:rsidR="004C1EAE" w:rsidRPr="003A68DC" w:rsidRDefault="004C1EAE" w:rsidP="00DB6869">
    <w:pPr>
      <w:pStyle w:val="Footer"/>
      <w:tabs>
        <w:tab w:val="clear" w:pos="4320"/>
        <w:tab w:val="clear" w:pos="8640"/>
        <w:tab w:val="right" w:pos="9360"/>
      </w:tabs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74</w:t>
    </w:r>
    <w:r>
      <w:rPr>
        <w:rStyle w:val="PageNumber"/>
        <w:sz w:val="21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4ED669" w14:textId="77777777" w:rsidR="00665643" w:rsidRPr="003A68DC" w:rsidRDefault="00665643" w:rsidP="00DB6869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t>St. Johns River Water Management District</w:t>
    </w:r>
  </w:p>
  <w:p w14:paraId="3C6308DD" w14:textId="4912DDFB" w:rsidR="00665643" w:rsidRPr="00DB6869" w:rsidRDefault="00665643" w:rsidP="00DB6869">
    <w:pPr>
      <w:pStyle w:val="Footer"/>
      <w:tabs>
        <w:tab w:val="clear" w:pos="4320"/>
        <w:tab w:val="clear" w:pos="8640"/>
        <w:tab w:val="right" w:pos="9360"/>
      </w:tabs>
      <w:jc w:val="right"/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 \* Arabic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73</w:t>
    </w:r>
    <w:r>
      <w:rPr>
        <w:rStyle w:val="PageNumber"/>
        <w:sz w:val="21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28E802" w14:textId="77777777" w:rsidR="00665643" w:rsidRDefault="00665643">
      <w:r>
        <w:separator/>
      </w:r>
    </w:p>
  </w:footnote>
  <w:footnote w:type="continuationSeparator" w:id="0">
    <w:p w14:paraId="0A4175E1" w14:textId="77777777" w:rsidR="00665643" w:rsidRDefault="00665643">
      <w:r>
        <w:continuationSeparator/>
      </w:r>
    </w:p>
  </w:footnote>
  <w:footnote w:type="continuationNotice" w:id="1">
    <w:p w14:paraId="0BCD5DD1" w14:textId="77777777" w:rsidR="00665643" w:rsidRDefault="0066564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5D18AA" w14:textId="3C8AD7ED" w:rsidR="00A640D7" w:rsidRDefault="00A640D7">
    <w:pPr>
      <w:pStyle w:val="Header"/>
    </w:pPr>
    <w:r>
      <w:t>Development and Calibration of Surface Water Models to Support the North Florida/Southeast Georgia (NFSEG v1.1) Groundwater Model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C9AE6B" w14:textId="54B5EA25" w:rsidR="00665643" w:rsidRPr="003A68DC" w:rsidRDefault="007B3865" w:rsidP="00E51389">
    <w:pPr>
      <w:pStyle w:val="HeaderRight"/>
      <w:tabs>
        <w:tab w:val="left" w:pos="6204"/>
        <w:tab w:val="right" w:pos="9360"/>
      </w:tabs>
    </w:pPr>
    <w:sdt>
      <w:sdtPr>
        <w:id w:val="1887605468"/>
        <w:docPartObj>
          <w:docPartGallery w:val="Watermarks"/>
          <w:docPartUnique/>
        </w:docPartObj>
      </w:sdtPr>
      <w:sdtEndPr/>
      <w:sdtContent>
        <w:r>
          <w:pict w14:anchorId="6C8B54D0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2062" type="#_x0000_t136" style="position:absolute;left:0;text-align:left;margin-left:0;margin-top:0;width:412.4pt;height:247.45pt;rotation:315;z-index:-251658752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DRAFT"/>
              <w10:wrap anchorx="margin" anchory="margin"/>
            </v:shape>
          </w:pict>
        </w:r>
      </w:sdtContent>
    </w:sdt>
    <w:r w:rsidR="00665643">
      <w:fldChar w:fldCharType="begin"/>
    </w:r>
    <w:r w:rsidR="00665643">
      <w:instrText xml:space="preserve"> STYLEREF  "Heading 1"  \* MERGEFORMAT </w:instrText>
    </w:r>
    <w:r w:rsidR="00665643">
      <w:fldChar w:fldCharType="separate"/>
    </w:r>
    <w:r>
      <w:rPr>
        <w:b/>
        <w:bCs/>
      </w:rPr>
      <w:t>Error! No text of specified style in document.</w:t>
    </w:r>
    <w:r w:rsidR="00665643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A52E440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51489F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DA692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658EB7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2FA364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330264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6781DB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EFEA6DA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2F26D6A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A42A70D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B597E8C"/>
    <w:multiLevelType w:val="hybridMultilevel"/>
    <w:tmpl w:val="158042B2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0DCA3758"/>
    <w:multiLevelType w:val="hybridMultilevel"/>
    <w:tmpl w:val="B4F25B0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0FC12119"/>
    <w:multiLevelType w:val="hybridMultilevel"/>
    <w:tmpl w:val="F46EDF4E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 w15:restartNumberingAfterBreak="0">
    <w:nsid w:val="10E149D5"/>
    <w:multiLevelType w:val="hybridMultilevel"/>
    <w:tmpl w:val="6A20DD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1C26EF8"/>
    <w:multiLevelType w:val="multilevel"/>
    <w:tmpl w:val="C818BB06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15" w15:restartNumberingAfterBreak="0">
    <w:nsid w:val="13611B67"/>
    <w:multiLevelType w:val="singleLevel"/>
    <w:tmpl w:val="08F2AAB0"/>
    <w:lvl w:ilvl="0">
      <w:start w:val="1"/>
      <w:numFmt w:val="lowerLetter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16" w15:restartNumberingAfterBreak="0">
    <w:nsid w:val="212303A8"/>
    <w:multiLevelType w:val="hybridMultilevel"/>
    <w:tmpl w:val="EE8AA7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3D43DC1"/>
    <w:multiLevelType w:val="hybridMultilevel"/>
    <w:tmpl w:val="9356E694"/>
    <w:lvl w:ilvl="0" w:tplc="FFFFFFFF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Times New Roman" w:hint="default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8795F17"/>
    <w:multiLevelType w:val="hybridMultilevel"/>
    <w:tmpl w:val="5ABAFE7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2B7B534F"/>
    <w:multiLevelType w:val="hybridMultilevel"/>
    <w:tmpl w:val="723A83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2B6349"/>
    <w:multiLevelType w:val="multilevel"/>
    <w:tmpl w:val="7D827F9A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21" w15:restartNumberingAfterBreak="0">
    <w:nsid w:val="31B2290B"/>
    <w:multiLevelType w:val="hybridMultilevel"/>
    <w:tmpl w:val="67C8C9D6"/>
    <w:lvl w:ilvl="0" w:tplc="819A647C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AE80DD8"/>
    <w:multiLevelType w:val="hybridMultilevel"/>
    <w:tmpl w:val="9566E222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F9D258C"/>
    <w:multiLevelType w:val="hybridMultilevel"/>
    <w:tmpl w:val="6096C8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2E502E2"/>
    <w:multiLevelType w:val="multilevel"/>
    <w:tmpl w:val="AAFE4748"/>
    <w:lvl w:ilvl="0">
      <w:start w:val="1"/>
      <w:numFmt w:val="decimal"/>
      <w:lvlText w:val="%1."/>
      <w:lvlJc w:val="right"/>
      <w:pPr>
        <w:ind w:left="1440" w:firstLine="1080"/>
      </w:pPr>
      <w:rPr>
        <w:u w:val="none"/>
      </w:rPr>
    </w:lvl>
    <w:lvl w:ilvl="1">
      <w:start w:val="1"/>
      <w:numFmt w:val="decimal"/>
      <w:lvlText w:val="%1.%2."/>
      <w:lvlJc w:val="right"/>
      <w:pPr>
        <w:ind w:left="2160" w:firstLine="180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880" w:firstLine="252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3600" w:firstLine="324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4320" w:firstLine="39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5040" w:firstLine="468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760" w:firstLine="540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6480" w:firstLine="612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7200" w:firstLine="6840"/>
      </w:pPr>
      <w:rPr>
        <w:u w:val="none"/>
      </w:rPr>
    </w:lvl>
  </w:abstractNum>
  <w:abstractNum w:abstractNumId="25" w15:restartNumberingAfterBreak="0">
    <w:nsid w:val="47430687"/>
    <w:multiLevelType w:val="hybridMultilevel"/>
    <w:tmpl w:val="FFE0E5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A8752A0"/>
    <w:multiLevelType w:val="hybridMultilevel"/>
    <w:tmpl w:val="1770785E"/>
    <w:lvl w:ilvl="0" w:tplc="1FBCB6F6">
      <w:start w:val="1"/>
      <w:numFmt w:val="decimal"/>
      <w:lvlText w:val="%1."/>
      <w:lvlJc w:val="left"/>
      <w:pPr>
        <w:ind w:left="720" w:hanging="360"/>
      </w:pPr>
    </w:lvl>
    <w:lvl w:ilvl="1" w:tplc="AD505BE6">
      <w:start w:val="1"/>
      <w:numFmt w:val="lowerLetter"/>
      <w:lvlText w:val="%2."/>
      <w:lvlJc w:val="left"/>
      <w:pPr>
        <w:ind w:left="1440" w:hanging="360"/>
      </w:pPr>
    </w:lvl>
    <w:lvl w:ilvl="2" w:tplc="19F8C254">
      <w:start w:val="1"/>
      <w:numFmt w:val="lowerRoman"/>
      <w:lvlText w:val="%3."/>
      <w:lvlJc w:val="right"/>
      <w:pPr>
        <w:ind w:left="2160" w:hanging="180"/>
      </w:pPr>
    </w:lvl>
    <w:lvl w:ilvl="3" w:tplc="A3CA26B8">
      <w:start w:val="1"/>
      <w:numFmt w:val="decimal"/>
      <w:lvlText w:val="%4."/>
      <w:lvlJc w:val="left"/>
      <w:pPr>
        <w:ind w:left="2880" w:hanging="360"/>
      </w:pPr>
    </w:lvl>
    <w:lvl w:ilvl="4" w:tplc="A2AC48F2">
      <w:start w:val="1"/>
      <w:numFmt w:val="lowerLetter"/>
      <w:lvlText w:val="%5."/>
      <w:lvlJc w:val="left"/>
      <w:pPr>
        <w:ind w:left="3600" w:hanging="360"/>
      </w:pPr>
    </w:lvl>
    <w:lvl w:ilvl="5" w:tplc="C4404C04">
      <w:start w:val="1"/>
      <w:numFmt w:val="lowerRoman"/>
      <w:lvlText w:val="%6."/>
      <w:lvlJc w:val="right"/>
      <w:pPr>
        <w:ind w:left="4320" w:hanging="180"/>
      </w:pPr>
    </w:lvl>
    <w:lvl w:ilvl="6" w:tplc="91A87CF2">
      <w:start w:val="1"/>
      <w:numFmt w:val="decimal"/>
      <w:lvlText w:val="%7."/>
      <w:lvlJc w:val="left"/>
      <w:pPr>
        <w:ind w:left="5040" w:hanging="360"/>
      </w:pPr>
    </w:lvl>
    <w:lvl w:ilvl="7" w:tplc="DB3AFEF6">
      <w:start w:val="1"/>
      <w:numFmt w:val="lowerLetter"/>
      <w:lvlText w:val="%8."/>
      <w:lvlJc w:val="left"/>
      <w:pPr>
        <w:ind w:left="5760" w:hanging="360"/>
      </w:pPr>
    </w:lvl>
    <w:lvl w:ilvl="8" w:tplc="CAFCB09C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C790F74"/>
    <w:multiLevelType w:val="hybridMultilevel"/>
    <w:tmpl w:val="9F38CB0C"/>
    <w:lvl w:ilvl="0" w:tplc="1F30EAAE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8A15CA"/>
    <w:multiLevelType w:val="hybridMultilevel"/>
    <w:tmpl w:val="4CBC39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DF72FD"/>
    <w:multiLevelType w:val="singleLevel"/>
    <w:tmpl w:val="E36408F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3"/>
      </w:rPr>
    </w:lvl>
  </w:abstractNum>
  <w:abstractNum w:abstractNumId="30" w15:restartNumberingAfterBreak="0">
    <w:nsid w:val="6604035D"/>
    <w:multiLevelType w:val="hybridMultilevel"/>
    <w:tmpl w:val="E56CE3D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68600AB0"/>
    <w:multiLevelType w:val="multilevel"/>
    <w:tmpl w:val="5FB6645C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32" w15:restartNumberingAfterBreak="0">
    <w:nsid w:val="68665E30"/>
    <w:multiLevelType w:val="hybridMultilevel"/>
    <w:tmpl w:val="0542FC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DB214A7"/>
    <w:multiLevelType w:val="hybridMultilevel"/>
    <w:tmpl w:val="1E4A49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F0D0DA2"/>
    <w:multiLevelType w:val="hybridMultilevel"/>
    <w:tmpl w:val="6B0285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00C4418"/>
    <w:multiLevelType w:val="hybridMultilevel"/>
    <w:tmpl w:val="DC2C3AAC"/>
    <w:lvl w:ilvl="0" w:tplc="040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76CA682D"/>
    <w:multiLevelType w:val="hybridMultilevel"/>
    <w:tmpl w:val="7D2807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7F71EC9"/>
    <w:multiLevelType w:val="hybridMultilevel"/>
    <w:tmpl w:val="733C481C"/>
    <w:lvl w:ilvl="0" w:tplc="BF92C01C">
      <w:start w:val="1"/>
      <w:numFmt w:val="decimal"/>
      <w:lvlText w:val="%1."/>
      <w:lvlJc w:val="left"/>
      <w:pPr>
        <w:ind w:left="720" w:hanging="360"/>
      </w:pPr>
    </w:lvl>
    <w:lvl w:ilvl="1" w:tplc="90D84DC6">
      <w:start w:val="1"/>
      <w:numFmt w:val="lowerLetter"/>
      <w:lvlText w:val="%2."/>
      <w:lvlJc w:val="left"/>
      <w:pPr>
        <w:ind w:left="1440" w:hanging="360"/>
      </w:pPr>
    </w:lvl>
    <w:lvl w:ilvl="2" w:tplc="2B80242E">
      <w:start w:val="1"/>
      <w:numFmt w:val="lowerRoman"/>
      <w:lvlText w:val="%3."/>
      <w:lvlJc w:val="right"/>
      <w:pPr>
        <w:ind w:left="2160" w:hanging="180"/>
      </w:pPr>
    </w:lvl>
    <w:lvl w:ilvl="3" w:tplc="855C94D4">
      <w:start w:val="1"/>
      <w:numFmt w:val="decimal"/>
      <w:lvlText w:val="%4."/>
      <w:lvlJc w:val="left"/>
      <w:pPr>
        <w:ind w:left="2880" w:hanging="360"/>
      </w:pPr>
    </w:lvl>
    <w:lvl w:ilvl="4" w:tplc="1F06820E">
      <w:start w:val="1"/>
      <w:numFmt w:val="lowerLetter"/>
      <w:lvlText w:val="%5."/>
      <w:lvlJc w:val="left"/>
      <w:pPr>
        <w:ind w:left="3600" w:hanging="360"/>
      </w:pPr>
    </w:lvl>
    <w:lvl w:ilvl="5" w:tplc="D6D2E614">
      <w:start w:val="1"/>
      <w:numFmt w:val="lowerRoman"/>
      <w:lvlText w:val="%6."/>
      <w:lvlJc w:val="right"/>
      <w:pPr>
        <w:ind w:left="4320" w:hanging="180"/>
      </w:pPr>
    </w:lvl>
    <w:lvl w:ilvl="6" w:tplc="092C5192">
      <w:start w:val="1"/>
      <w:numFmt w:val="decimal"/>
      <w:lvlText w:val="%7."/>
      <w:lvlJc w:val="left"/>
      <w:pPr>
        <w:ind w:left="5040" w:hanging="360"/>
      </w:pPr>
    </w:lvl>
    <w:lvl w:ilvl="7" w:tplc="A5D8C652">
      <w:start w:val="1"/>
      <w:numFmt w:val="lowerLetter"/>
      <w:lvlText w:val="%8."/>
      <w:lvlJc w:val="left"/>
      <w:pPr>
        <w:ind w:left="5760" w:hanging="360"/>
      </w:pPr>
    </w:lvl>
    <w:lvl w:ilvl="8" w:tplc="D47C42A8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D3648AF"/>
    <w:multiLevelType w:val="hybridMultilevel"/>
    <w:tmpl w:val="8DCC747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6"/>
  </w:num>
  <w:num w:numId="2">
    <w:abstractNumId w:val="15"/>
  </w:num>
  <w:num w:numId="3">
    <w:abstractNumId w:val="17"/>
  </w:num>
  <w:num w:numId="4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9"/>
  </w:num>
  <w:num w:numId="6">
    <w:abstractNumId w:val="3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</w:num>
  <w:num w:numId="11">
    <w:abstractNumId w:val="7"/>
  </w:num>
  <w:num w:numId="12">
    <w:abstractNumId w:val="6"/>
  </w:num>
  <w:num w:numId="13">
    <w:abstractNumId w:val="5"/>
  </w:num>
  <w:num w:numId="14">
    <w:abstractNumId w:val="4"/>
  </w:num>
  <w:num w:numId="15">
    <w:abstractNumId w:val="8"/>
  </w:num>
  <w:num w:numId="16">
    <w:abstractNumId w:val="3"/>
  </w:num>
  <w:num w:numId="17">
    <w:abstractNumId w:val="2"/>
  </w:num>
  <w:num w:numId="18">
    <w:abstractNumId w:val="1"/>
  </w:num>
  <w:num w:numId="19">
    <w:abstractNumId w:val="0"/>
  </w:num>
  <w:num w:numId="20">
    <w:abstractNumId w:val="32"/>
  </w:num>
  <w:num w:numId="21">
    <w:abstractNumId w:val="25"/>
  </w:num>
  <w:num w:numId="22">
    <w:abstractNumId w:val="38"/>
  </w:num>
  <w:num w:numId="23">
    <w:abstractNumId w:val="30"/>
  </w:num>
  <w:num w:numId="24">
    <w:abstractNumId w:val="36"/>
  </w:num>
  <w:num w:numId="25">
    <w:abstractNumId w:val="21"/>
  </w:num>
  <w:num w:numId="26">
    <w:abstractNumId w:val="27"/>
  </w:num>
  <w:num w:numId="27">
    <w:abstractNumId w:val="14"/>
  </w:num>
  <w:num w:numId="28">
    <w:abstractNumId w:val="20"/>
  </w:num>
  <w:num w:numId="29">
    <w:abstractNumId w:val="31"/>
  </w:num>
  <w:num w:numId="30">
    <w:abstractNumId w:val="24"/>
  </w:num>
  <w:num w:numId="31">
    <w:abstractNumId w:val="10"/>
  </w:num>
  <w:num w:numId="32">
    <w:abstractNumId w:val="34"/>
  </w:num>
  <w:num w:numId="33">
    <w:abstractNumId w:val="13"/>
  </w:num>
  <w:num w:numId="34">
    <w:abstractNumId w:val="28"/>
  </w:num>
  <w:num w:numId="35">
    <w:abstractNumId w:val="16"/>
  </w:num>
  <w:num w:numId="36">
    <w:abstractNumId w:val="37"/>
  </w:num>
  <w:num w:numId="37">
    <w:abstractNumId w:val="18"/>
  </w:num>
  <w:num w:numId="38">
    <w:abstractNumId w:val="11"/>
  </w:num>
  <w:num w:numId="39">
    <w:abstractNumId w:val="12"/>
  </w:num>
  <w:num w:numId="40">
    <w:abstractNumId w:val="8"/>
    <w:lvlOverride w:ilvl="0">
      <w:startOverride w:val="1"/>
    </w:lvlOverride>
  </w:num>
  <w:num w:numId="41">
    <w:abstractNumId w:val="19"/>
  </w:num>
  <w:num w:numId="42">
    <w:abstractNumId w:val="33"/>
  </w:num>
  <w:num w:numId="43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evenAndOddHeaders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63">
      <o:colormru v:ext="edit" colors="#ccecff,#afd7ff,#dcbade"/>
    </o:shapedefaults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SJRWMD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1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wtprdapszzred4exttypzvflfzxz5vs0zp9d&quot;&gt;NFSEG_ET_refs&lt;record-ids&gt;&lt;item&gt;1&lt;/item&gt;&lt;item&gt;2&lt;/item&gt;&lt;item&gt;3&lt;/item&gt;&lt;item&gt;4&lt;/item&gt;&lt;item&gt;5&lt;/item&gt;&lt;item&gt;6&lt;/item&gt;&lt;item&gt;7&lt;/item&gt;&lt;item&gt;8&lt;/item&gt;&lt;item&gt;9&lt;/item&gt;&lt;item&gt;10&lt;/item&gt;&lt;item&gt;11&lt;/item&gt;&lt;item&gt;12&lt;/item&gt;&lt;item&gt;13&lt;/item&gt;&lt;item&gt;14&lt;/item&gt;&lt;item&gt;15&lt;/item&gt;&lt;item&gt;17&lt;/item&gt;&lt;item&gt;18&lt;/item&gt;&lt;item&gt;19&lt;/item&gt;&lt;item&gt;20&lt;/item&gt;&lt;/record-ids&gt;&lt;/item&gt;&lt;/Libraries&gt;"/>
    <w:docVar w:name="SIGN_FLAG" w:val="0"/>
  </w:docVars>
  <w:rsids>
    <w:rsidRoot w:val="00016671"/>
    <w:rsid w:val="000009E0"/>
    <w:rsid w:val="000017D7"/>
    <w:rsid w:val="00002114"/>
    <w:rsid w:val="00002DC9"/>
    <w:rsid w:val="00003360"/>
    <w:rsid w:val="00004CEB"/>
    <w:rsid w:val="0000582F"/>
    <w:rsid w:val="00006C01"/>
    <w:rsid w:val="00007BE2"/>
    <w:rsid w:val="00010967"/>
    <w:rsid w:val="00011405"/>
    <w:rsid w:val="00013529"/>
    <w:rsid w:val="000150C3"/>
    <w:rsid w:val="000150DE"/>
    <w:rsid w:val="00016671"/>
    <w:rsid w:val="00017008"/>
    <w:rsid w:val="000210A7"/>
    <w:rsid w:val="0002111A"/>
    <w:rsid w:val="00021A39"/>
    <w:rsid w:val="0002463D"/>
    <w:rsid w:val="000276B5"/>
    <w:rsid w:val="00027D9C"/>
    <w:rsid w:val="00031112"/>
    <w:rsid w:val="00032098"/>
    <w:rsid w:val="00032B04"/>
    <w:rsid w:val="000335AE"/>
    <w:rsid w:val="0003546B"/>
    <w:rsid w:val="000354AC"/>
    <w:rsid w:val="00035FE5"/>
    <w:rsid w:val="0003738A"/>
    <w:rsid w:val="00041FC8"/>
    <w:rsid w:val="00042259"/>
    <w:rsid w:val="000426E2"/>
    <w:rsid w:val="0004344A"/>
    <w:rsid w:val="00044491"/>
    <w:rsid w:val="000444B6"/>
    <w:rsid w:val="00046250"/>
    <w:rsid w:val="00047F14"/>
    <w:rsid w:val="00050B1C"/>
    <w:rsid w:val="00052084"/>
    <w:rsid w:val="00053491"/>
    <w:rsid w:val="00053F19"/>
    <w:rsid w:val="00054FA3"/>
    <w:rsid w:val="000559B8"/>
    <w:rsid w:val="00060363"/>
    <w:rsid w:val="000605C3"/>
    <w:rsid w:val="00063067"/>
    <w:rsid w:val="00063E42"/>
    <w:rsid w:val="000644DE"/>
    <w:rsid w:val="00064BE2"/>
    <w:rsid w:val="000650C2"/>
    <w:rsid w:val="00066D67"/>
    <w:rsid w:val="000674EC"/>
    <w:rsid w:val="00067BD6"/>
    <w:rsid w:val="000706A3"/>
    <w:rsid w:val="00070833"/>
    <w:rsid w:val="00070ACF"/>
    <w:rsid w:val="00071D7C"/>
    <w:rsid w:val="000756D0"/>
    <w:rsid w:val="00075871"/>
    <w:rsid w:val="00075A42"/>
    <w:rsid w:val="00076C6F"/>
    <w:rsid w:val="00076DDE"/>
    <w:rsid w:val="00077C3A"/>
    <w:rsid w:val="0008055E"/>
    <w:rsid w:val="00081BA9"/>
    <w:rsid w:val="000824F7"/>
    <w:rsid w:val="000826D8"/>
    <w:rsid w:val="000831BC"/>
    <w:rsid w:val="000839DD"/>
    <w:rsid w:val="00086BAF"/>
    <w:rsid w:val="00087088"/>
    <w:rsid w:val="0008784C"/>
    <w:rsid w:val="00087E2A"/>
    <w:rsid w:val="0009163A"/>
    <w:rsid w:val="00092CCC"/>
    <w:rsid w:val="000937CA"/>
    <w:rsid w:val="00094020"/>
    <w:rsid w:val="00095245"/>
    <w:rsid w:val="000960E0"/>
    <w:rsid w:val="00096F2A"/>
    <w:rsid w:val="00097871"/>
    <w:rsid w:val="000A402C"/>
    <w:rsid w:val="000B3855"/>
    <w:rsid w:val="000B5139"/>
    <w:rsid w:val="000B529C"/>
    <w:rsid w:val="000B6348"/>
    <w:rsid w:val="000B7F3B"/>
    <w:rsid w:val="000B7FAB"/>
    <w:rsid w:val="000C0457"/>
    <w:rsid w:val="000C385B"/>
    <w:rsid w:val="000C4812"/>
    <w:rsid w:val="000D07CE"/>
    <w:rsid w:val="000D3817"/>
    <w:rsid w:val="000D3C4C"/>
    <w:rsid w:val="000D44F9"/>
    <w:rsid w:val="000D4D31"/>
    <w:rsid w:val="000D5A5F"/>
    <w:rsid w:val="000D5C8F"/>
    <w:rsid w:val="000D663C"/>
    <w:rsid w:val="000D6C8A"/>
    <w:rsid w:val="000E1256"/>
    <w:rsid w:val="000E16BE"/>
    <w:rsid w:val="000E251D"/>
    <w:rsid w:val="000E38A5"/>
    <w:rsid w:val="000E3966"/>
    <w:rsid w:val="000E55E9"/>
    <w:rsid w:val="000E5AEA"/>
    <w:rsid w:val="000E5ED7"/>
    <w:rsid w:val="000E6F43"/>
    <w:rsid w:val="000E7D13"/>
    <w:rsid w:val="000F0555"/>
    <w:rsid w:val="000F1B90"/>
    <w:rsid w:val="000F2CCB"/>
    <w:rsid w:val="000F37FD"/>
    <w:rsid w:val="000F4E0E"/>
    <w:rsid w:val="000F6434"/>
    <w:rsid w:val="000F74A1"/>
    <w:rsid w:val="001005AC"/>
    <w:rsid w:val="001027A7"/>
    <w:rsid w:val="00102B18"/>
    <w:rsid w:val="00102CB9"/>
    <w:rsid w:val="00104B73"/>
    <w:rsid w:val="00104D42"/>
    <w:rsid w:val="00105654"/>
    <w:rsid w:val="00105C8E"/>
    <w:rsid w:val="00106BA8"/>
    <w:rsid w:val="00111092"/>
    <w:rsid w:val="001114DB"/>
    <w:rsid w:val="0011181B"/>
    <w:rsid w:val="00111EED"/>
    <w:rsid w:val="001165F8"/>
    <w:rsid w:val="0011694F"/>
    <w:rsid w:val="0011752F"/>
    <w:rsid w:val="00120A72"/>
    <w:rsid w:val="0012254D"/>
    <w:rsid w:val="00122C63"/>
    <w:rsid w:val="001232B3"/>
    <w:rsid w:val="00125CCD"/>
    <w:rsid w:val="00131DB7"/>
    <w:rsid w:val="001324C0"/>
    <w:rsid w:val="00135437"/>
    <w:rsid w:val="001365B6"/>
    <w:rsid w:val="00136DB9"/>
    <w:rsid w:val="00136EC9"/>
    <w:rsid w:val="00143430"/>
    <w:rsid w:val="00144930"/>
    <w:rsid w:val="00144A75"/>
    <w:rsid w:val="00146F73"/>
    <w:rsid w:val="001474E7"/>
    <w:rsid w:val="001530EC"/>
    <w:rsid w:val="00155751"/>
    <w:rsid w:val="00156923"/>
    <w:rsid w:val="00157F0F"/>
    <w:rsid w:val="0016011D"/>
    <w:rsid w:val="001603FD"/>
    <w:rsid w:val="001618D1"/>
    <w:rsid w:val="00164B3C"/>
    <w:rsid w:val="00166C69"/>
    <w:rsid w:val="00170642"/>
    <w:rsid w:val="00171D37"/>
    <w:rsid w:val="001805E8"/>
    <w:rsid w:val="00180D1E"/>
    <w:rsid w:val="00182417"/>
    <w:rsid w:val="00183BF0"/>
    <w:rsid w:val="00184C99"/>
    <w:rsid w:val="00184E17"/>
    <w:rsid w:val="00185A09"/>
    <w:rsid w:val="001861AE"/>
    <w:rsid w:val="001868E5"/>
    <w:rsid w:val="00187AE0"/>
    <w:rsid w:val="00190B42"/>
    <w:rsid w:val="00192146"/>
    <w:rsid w:val="00192F9B"/>
    <w:rsid w:val="001939D4"/>
    <w:rsid w:val="00193A03"/>
    <w:rsid w:val="001941C1"/>
    <w:rsid w:val="0019481E"/>
    <w:rsid w:val="00197D6F"/>
    <w:rsid w:val="00197E15"/>
    <w:rsid w:val="001A203B"/>
    <w:rsid w:val="001A3266"/>
    <w:rsid w:val="001A5537"/>
    <w:rsid w:val="001A5918"/>
    <w:rsid w:val="001A6944"/>
    <w:rsid w:val="001A7538"/>
    <w:rsid w:val="001B030C"/>
    <w:rsid w:val="001B0DA3"/>
    <w:rsid w:val="001B3324"/>
    <w:rsid w:val="001B4533"/>
    <w:rsid w:val="001B491B"/>
    <w:rsid w:val="001B4A36"/>
    <w:rsid w:val="001B5656"/>
    <w:rsid w:val="001B5918"/>
    <w:rsid w:val="001B68CB"/>
    <w:rsid w:val="001B7062"/>
    <w:rsid w:val="001B7CF8"/>
    <w:rsid w:val="001C0352"/>
    <w:rsid w:val="001C1AE3"/>
    <w:rsid w:val="001C25F3"/>
    <w:rsid w:val="001C35E9"/>
    <w:rsid w:val="001C3F29"/>
    <w:rsid w:val="001C4949"/>
    <w:rsid w:val="001C4B10"/>
    <w:rsid w:val="001C513B"/>
    <w:rsid w:val="001C7B3C"/>
    <w:rsid w:val="001D0421"/>
    <w:rsid w:val="001D1012"/>
    <w:rsid w:val="001D3CE0"/>
    <w:rsid w:val="001D4A86"/>
    <w:rsid w:val="001D5161"/>
    <w:rsid w:val="001D64CF"/>
    <w:rsid w:val="001D6623"/>
    <w:rsid w:val="001D798B"/>
    <w:rsid w:val="001E136C"/>
    <w:rsid w:val="001E206C"/>
    <w:rsid w:val="001E2638"/>
    <w:rsid w:val="001E3393"/>
    <w:rsid w:val="001E4585"/>
    <w:rsid w:val="001E5088"/>
    <w:rsid w:val="001E5425"/>
    <w:rsid w:val="001E64BD"/>
    <w:rsid w:val="001E6819"/>
    <w:rsid w:val="001F2641"/>
    <w:rsid w:val="001F31D7"/>
    <w:rsid w:val="001F3ADD"/>
    <w:rsid w:val="001F6CCD"/>
    <w:rsid w:val="001F7215"/>
    <w:rsid w:val="002034F7"/>
    <w:rsid w:val="002039C2"/>
    <w:rsid w:val="00203C64"/>
    <w:rsid w:val="0020405E"/>
    <w:rsid w:val="002050F0"/>
    <w:rsid w:val="00206D54"/>
    <w:rsid w:val="00206EF3"/>
    <w:rsid w:val="002107B7"/>
    <w:rsid w:val="00211068"/>
    <w:rsid w:val="002110A1"/>
    <w:rsid w:val="00213241"/>
    <w:rsid w:val="002140D9"/>
    <w:rsid w:val="0021575A"/>
    <w:rsid w:val="00215A55"/>
    <w:rsid w:val="0021633A"/>
    <w:rsid w:val="0021640C"/>
    <w:rsid w:val="00216F35"/>
    <w:rsid w:val="002174ED"/>
    <w:rsid w:val="00217FCD"/>
    <w:rsid w:val="00221C39"/>
    <w:rsid w:val="00223F69"/>
    <w:rsid w:val="002249AD"/>
    <w:rsid w:val="00224CDF"/>
    <w:rsid w:val="00224FD2"/>
    <w:rsid w:val="00226CEC"/>
    <w:rsid w:val="00231910"/>
    <w:rsid w:val="00231DFA"/>
    <w:rsid w:val="0023254D"/>
    <w:rsid w:val="00233C2F"/>
    <w:rsid w:val="00234EEE"/>
    <w:rsid w:val="00235C19"/>
    <w:rsid w:val="00236CB2"/>
    <w:rsid w:val="00237DDE"/>
    <w:rsid w:val="002401FC"/>
    <w:rsid w:val="002412BD"/>
    <w:rsid w:val="0024408D"/>
    <w:rsid w:val="00244987"/>
    <w:rsid w:val="00244EF7"/>
    <w:rsid w:val="00244FBE"/>
    <w:rsid w:val="00246081"/>
    <w:rsid w:val="00247704"/>
    <w:rsid w:val="002517F3"/>
    <w:rsid w:val="00251D98"/>
    <w:rsid w:val="00253172"/>
    <w:rsid w:val="0025365F"/>
    <w:rsid w:val="00254D7F"/>
    <w:rsid w:val="00255421"/>
    <w:rsid w:val="002564C0"/>
    <w:rsid w:val="00256AA0"/>
    <w:rsid w:val="00257B1B"/>
    <w:rsid w:val="00260447"/>
    <w:rsid w:val="00260CEA"/>
    <w:rsid w:val="00262D56"/>
    <w:rsid w:val="002641D6"/>
    <w:rsid w:val="002658C1"/>
    <w:rsid w:val="0026664D"/>
    <w:rsid w:val="00267B75"/>
    <w:rsid w:val="002702BD"/>
    <w:rsid w:val="00271575"/>
    <w:rsid w:val="0027206B"/>
    <w:rsid w:val="002754AF"/>
    <w:rsid w:val="00275C16"/>
    <w:rsid w:val="0027649C"/>
    <w:rsid w:val="002774DC"/>
    <w:rsid w:val="00277731"/>
    <w:rsid w:val="0028197C"/>
    <w:rsid w:val="00281C0C"/>
    <w:rsid w:val="00281ECD"/>
    <w:rsid w:val="00282B49"/>
    <w:rsid w:val="00282CCA"/>
    <w:rsid w:val="0028327C"/>
    <w:rsid w:val="00283474"/>
    <w:rsid w:val="00284BD0"/>
    <w:rsid w:val="002865D2"/>
    <w:rsid w:val="00287627"/>
    <w:rsid w:val="00290283"/>
    <w:rsid w:val="00292B49"/>
    <w:rsid w:val="00293EA0"/>
    <w:rsid w:val="002943A6"/>
    <w:rsid w:val="002959BB"/>
    <w:rsid w:val="002961F7"/>
    <w:rsid w:val="00296B7F"/>
    <w:rsid w:val="00297E59"/>
    <w:rsid w:val="002A0276"/>
    <w:rsid w:val="002A04BB"/>
    <w:rsid w:val="002A1D03"/>
    <w:rsid w:val="002A207D"/>
    <w:rsid w:val="002A2DFD"/>
    <w:rsid w:val="002A3B33"/>
    <w:rsid w:val="002A4231"/>
    <w:rsid w:val="002A6379"/>
    <w:rsid w:val="002A71D4"/>
    <w:rsid w:val="002B0C16"/>
    <w:rsid w:val="002B21D4"/>
    <w:rsid w:val="002B2BD0"/>
    <w:rsid w:val="002B3A0E"/>
    <w:rsid w:val="002B5185"/>
    <w:rsid w:val="002B5903"/>
    <w:rsid w:val="002B5C4B"/>
    <w:rsid w:val="002C3D96"/>
    <w:rsid w:val="002C4BFD"/>
    <w:rsid w:val="002C4E29"/>
    <w:rsid w:val="002C7D65"/>
    <w:rsid w:val="002D0585"/>
    <w:rsid w:val="002D1038"/>
    <w:rsid w:val="002D2032"/>
    <w:rsid w:val="002D6C6B"/>
    <w:rsid w:val="002D7969"/>
    <w:rsid w:val="002E3943"/>
    <w:rsid w:val="002E3F0A"/>
    <w:rsid w:val="002E6D7D"/>
    <w:rsid w:val="002E720E"/>
    <w:rsid w:val="002E78B5"/>
    <w:rsid w:val="002E7C89"/>
    <w:rsid w:val="002F0CC4"/>
    <w:rsid w:val="002F210E"/>
    <w:rsid w:val="002F2580"/>
    <w:rsid w:val="002F4BE8"/>
    <w:rsid w:val="002F5BD7"/>
    <w:rsid w:val="002F6B45"/>
    <w:rsid w:val="003009B0"/>
    <w:rsid w:val="00302BA8"/>
    <w:rsid w:val="00302DA2"/>
    <w:rsid w:val="00303A40"/>
    <w:rsid w:val="00304543"/>
    <w:rsid w:val="0030486A"/>
    <w:rsid w:val="00305145"/>
    <w:rsid w:val="00306B30"/>
    <w:rsid w:val="00307BFE"/>
    <w:rsid w:val="0031023A"/>
    <w:rsid w:val="003117FC"/>
    <w:rsid w:val="003138A6"/>
    <w:rsid w:val="00314557"/>
    <w:rsid w:val="00314C37"/>
    <w:rsid w:val="00314E8F"/>
    <w:rsid w:val="003152BC"/>
    <w:rsid w:val="00317BA4"/>
    <w:rsid w:val="00321236"/>
    <w:rsid w:val="00321E72"/>
    <w:rsid w:val="003236DB"/>
    <w:rsid w:val="00324A9A"/>
    <w:rsid w:val="003262DF"/>
    <w:rsid w:val="00326CEA"/>
    <w:rsid w:val="00327024"/>
    <w:rsid w:val="00333992"/>
    <w:rsid w:val="00334126"/>
    <w:rsid w:val="00334518"/>
    <w:rsid w:val="003350F3"/>
    <w:rsid w:val="003354AB"/>
    <w:rsid w:val="00337101"/>
    <w:rsid w:val="00337F9C"/>
    <w:rsid w:val="003408C3"/>
    <w:rsid w:val="003414DB"/>
    <w:rsid w:val="003416F6"/>
    <w:rsid w:val="0034179F"/>
    <w:rsid w:val="00341A58"/>
    <w:rsid w:val="003424DE"/>
    <w:rsid w:val="00344F4A"/>
    <w:rsid w:val="003459FC"/>
    <w:rsid w:val="00347043"/>
    <w:rsid w:val="003509AB"/>
    <w:rsid w:val="00350F48"/>
    <w:rsid w:val="0035326C"/>
    <w:rsid w:val="00353CA2"/>
    <w:rsid w:val="0035638C"/>
    <w:rsid w:val="003577E8"/>
    <w:rsid w:val="00357DFA"/>
    <w:rsid w:val="00362F74"/>
    <w:rsid w:val="00364449"/>
    <w:rsid w:val="00365642"/>
    <w:rsid w:val="00365AB8"/>
    <w:rsid w:val="0036606C"/>
    <w:rsid w:val="003660B8"/>
    <w:rsid w:val="003665DF"/>
    <w:rsid w:val="00366D43"/>
    <w:rsid w:val="0037100A"/>
    <w:rsid w:val="003719B6"/>
    <w:rsid w:val="00371F1A"/>
    <w:rsid w:val="00374C6D"/>
    <w:rsid w:val="003776DD"/>
    <w:rsid w:val="0038435C"/>
    <w:rsid w:val="00385963"/>
    <w:rsid w:val="00386916"/>
    <w:rsid w:val="00386DF6"/>
    <w:rsid w:val="00393441"/>
    <w:rsid w:val="00394BA9"/>
    <w:rsid w:val="00394D20"/>
    <w:rsid w:val="00395D4A"/>
    <w:rsid w:val="00396ECD"/>
    <w:rsid w:val="003A10EE"/>
    <w:rsid w:val="003A153E"/>
    <w:rsid w:val="003A1DAE"/>
    <w:rsid w:val="003A2364"/>
    <w:rsid w:val="003A37A9"/>
    <w:rsid w:val="003A68DC"/>
    <w:rsid w:val="003A6F0F"/>
    <w:rsid w:val="003A799C"/>
    <w:rsid w:val="003B0D9B"/>
    <w:rsid w:val="003B22FB"/>
    <w:rsid w:val="003B2F47"/>
    <w:rsid w:val="003B3E45"/>
    <w:rsid w:val="003B6964"/>
    <w:rsid w:val="003B6BC9"/>
    <w:rsid w:val="003B6C46"/>
    <w:rsid w:val="003C0C2B"/>
    <w:rsid w:val="003C0C3F"/>
    <w:rsid w:val="003C1A8E"/>
    <w:rsid w:val="003C2941"/>
    <w:rsid w:val="003C4115"/>
    <w:rsid w:val="003C461B"/>
    <w:rsid w:val="003C5274"/>
    <w:rsid w:val="003C67E5"/>
    <w:rsid w:val="003C7350"/>
    <w:rsid w:val="003C76ED"/>
    <w:rsid w:val="003C780E"/>
    <w:rsid w:val="003D0150"/>
    <w:rsid w:val="003D1B6B"/>
    <w:rsid w:val="003D27A5"/>
    <w:rsid w:val="003D2EEB"/>
    <w:rsid w:val="003D42DD"/>
    <w:rsid w:val="003D4B70"/>
    <w:rsid w:val="003D5927"/>
    <w:rsid w:val="003D7EE9"/>
    <w:rsid w:val="003D7F9F"/>
    <w:rsid w:val="003E0AFF"/>
    <w:rsid w:val="003E1160"/>
    <w:rsid w:val="003E1B74"/>
    <w:rsid w:val="003E32F7"/>
    <w:rsid w:val="003E543B"/>
    <w:rsid w:val="003E74C8"/>
    <w:rsid w:val="003F37EB"/>
    <w:rsid w:val="003F55C2"/>
    <w:rsid w:val="004006D3"/>
    <w:rsid w:val="004008FD"/>
    <w:rsid w:val="004018EB"/>
    <w:rsid w:val="00402589"/>
    <w:rsid w:val="0040441B"/>
    <w:rsid w:val="00404C40"/>
    <w:rsid w:val="0040512A"/>
    <w:rsid w:val="004054FD"/>
    <w:rsid w:val="004058F0"/>
    <w:rsid w:val="00406387"/>
    <w:rsid w:val="00411099"/>
    <w:rsid w:val="0041146A"/>
    <w:rsid w:val="00412BFF"/>
    <w:rsid w:val="00414B17"/>
    <w:rsid w:val="00414B9A"/>
    <w:rsid w:val="00415395"/>
    <w:rsid w:val="00415793"/>
    <w:rsid w:val="00415EDD"/>
    <w:rsid w:val="00416118"/>
    <w:rsid w:val="0042067F"/>
    <w:rsid w:val="004219C7"/>
    <w:rsid w:val="00421EB4"/>
    <w:rsid w:val="00422C8F"/>
    <w:rsid w:val="00423E5E"/>
    <w:rsid w:val="004255B8"/>
    <w:rsid w:val="004267C0"/>
    <w:rsid w:val="0042684E"/>
    <w:rsid w:val="00427369"/>
    <w:rsid w:val="004275B1"/>
    <w:rsid w:val="004307A0"/>
    <w:rsid w:val="0043094B"/>
    <w:rsid w:val="00430A09"/>
    <w:rsid w:val="004317E3"/>
    <w:rsid w:val="004329B7"/>
    <w:rsid w:val="004331B1"/>
    <w:rsid w:val="00435367"/>
    <w:rsid w:val="004419C5"/>
    <w:rsid w:val="0044224A"/>
    <w:rsid w:val="004429AF"/>
    <w:rsid w:val="00443AE9"/>
    <w:rsid w:val="00444150"/>
    <w:rsid w:val="004454C5"/>
    <w:rsid w:val="004508C4"/>
    <w:rsid w:val="00450EDB"/>
    <w:rsid w:val="00451BA9"/>
    <w:rsid w:val="004559FA"/>
    <w:rsid w:val="00456756"/>
    <w:rsid w:val="004608B2"/>
    <w:rsid w:val="00464A82"/>
    <w:rsid w:val="00464B21"/>
    <w:rsid w:val="00465808"/>
    <w:rsid w:val="00465AB6"/>
    <w:rsid w:val="00470236"/>
    <w:rsid w:val="004703DD"/>
    <w:rsid w:val="0047244E"/>
    <w:rsid w:val="00473CAB"/>
    <w:rsid w:val="00474D4D"/>
    <w:rsid w:val="004756EC"/>
    <w:rsid w:val="00475CB7"/>
    <w:rsid w:val="00476BF9"/>
    <w:rsid w:val="00476C03"/>
    <w:rsid w:val="0047756E"/>
    <w:rsid w:val="004778D5"/>
    <w:rsid w:val="00480082"/>
    <w:rsid w:val="00481FC3"/>
    <w:rsid w:val="004847F1"/>
    <w:rsid w:val="00484875"/>
    <w:rsid w:val="00484AFD"/>
    <w:rsid w:val="00486333"/>
    <w:rsid w:val="004865A5"/>
    <w:rsid w:val="00486B0F"/>
    <w:rsid w:val="00486E6A"/>
    <w:rsid w:val="00486E99"/>
    <w:rsid w:val="00490245"/>
    <w:rsid w:val="00490A9C"/>
    <w:rsid w:val="0049100D"/>
    <w:rsid w:val="004973D9"/>
    <w:rsid w:val="004A14F0"/>
    <w:rsid w:val="004A1EAC"/>
    <w:rsid w:val="004A62CF"/>
    <w:rsid w:val="004B0631"/>
    <w:rsid w:val="004B088B"/>
    <w:rsid w:val="004B1911"/>
    <w:rsid w:val="004B7335"/>
    <w:rsid w:val="004B7DE8"/>
    <w:rsid w:val="004C0024"/>
    <w:rsid w:val="004C0282"/>
    <w:rsid w:val="004C15D2"/>
    <w:rsid w:val="004C1EAE"/>
    <w:rsid w:val="004C2609"/>
    <w:rsid w:val="004C2874"/>
    <w:rsid w:val="004C4D3E"/>
    <w:rsid w:val="004C626E"/>
    <w:rsid w:val="004D04C5"/>
    <w:rsid w:val="004D1F50"/>
    <w:rsid w:val="004D2DFE"/>
    <w:rsid w:val="004D2F43"/>
    <w:rsid w:val="004D3861"/>
    <w:rsid w:val="004D4418"/>
    <w:rsid w:val="004D4DDE"/>
    <w:rsid w:val="004D63EE"/>
    <w:rsid w:val="004D659E"/>
    <w:rsid w:val="004D7A34"/>
    <w:rsid w:val="004E1A16"/>
    <w:rsid w:val="004E2CA5"/>
    <w:rsid w:val="004E375D"/>
    <w:rsid w:val="004E5430"/>
    <w:rsid w:val="004E6435"/>
    <w:rsid w:val="004E6F8A"/>
    <w:rsid w:val="004E71CC"/>
    <w:rsid w:val="004E7BDE"/>
    <w:rsid w:val="004F07C5"/>
    <w:rsid w:val="004F1305"/>
    <w:rsid w:val="004F1465"/>
    <w:rsid w:val="004F2111"/>
    <w:rsid w:val="004F4459"/>
    <w:rsid w:val="004F4B80"/>
    <w:rsid w:val="004F5873"/>
    <w:rsid w:val="004F6112"/>
    <w:rsid w:val="00500D9B"/>
    <w:rsid w:val="005010DF"/>
    <w:rsid w:val="00504F1B"/>
    <w:rsid w:val="00506446"/>
    <w:rsid w:val="00507C2F"/>
    <w:rsid w:val="00507DC9"/>
    <w:rsid w:val="00510160"/>
    <w:rsid w:val="00510257"/>
    <w:rsid w:val="005105B3"/>
    <w:rsid w:val="00512070"/>
    <w:rsid w:val="005123E9"/>
    <w:rsid w:val="00522FA5"/>
    <w:rsid w:val="00523D6E"/>
    <w:rsid w:val="0052445F"/>
    <w:rsid w:val="0052595A"/>
    <w:rsid w:val="005275E2"/>
    <w:rsid w:val="00527834"/>
    <w:rsid w:val="00533104"/>
    <w:rsid w:val="005347A9"/>
    <w:rsid w:val="005400C3"/>
    <w:rsid w:val="00541ED4"/>
    <w:rsid w:val="0054249E"/>
    <w:rsid w:val="00542F15"/>
    <w:rsid w:val="00543B76"/>
    <w:rsid w:val="00544471"/>
    <w:rsid w:val="00544B5A"/>
    <w:rsid w:val="0054510F"/>
    <w:rsid w:val="005463CB"/>
    <w:rsid w:val="00546E58"/>
    <w:rsid w:val="00547393"/>
    <w:rsid w:val="00551539"/>
    <w:rsid w:val="005516E0"/>
    <w:rsid w:val="005519AD"/>
    <w:rsid w:val="005525FE"/>
    <w:rsid w:val="00552684"/>
    <w:rsid w:val="00552A76"/>
    <w:rsid w:val="00553B98"/>
    <w:rsid w:val="00553D15"/>
    <w:rsid w:val="00555142"/>
    <w:rsid w:val="005559A1"/>
    <w:rsid w:val="00556C12"/>
    <w:rsid w:val="005574C3"/>
    <w:rsid w:val="0055767E"/>
    <w:rsid w:val="00561C1E"/>
    <w:rsid w:val="005622F6"/>
    <w:rsid w:val="00564391"/>
    <w:rsid w:val="0056591E"/>
    <w:rsid w:val="005660F5"/>
    <w:rsid w:val="00567258"/>
    <w:rsid w:val="005678D8"/>
    <w:rsid w:val="00570183"/>
    <w:rsid w:val="0057063C"/>
    <w:rsid w:val="00570A74"/>
    <w:rsid w:val="00570CFB"/>
    <w:rsid w:val="005727EB"/>
    <w:rsid w:val="00572953"/>
    <w:rsid w:val="00577DAD"/>
    <w:rsid w:val="00580BDD"/>
    <w:rsid w:val="00580D78"/>
    <w:rsid w:val="005810E0"/>
    <w:rsid w:val="0058161C"/>
    <w:rsid w:val="00584356"/>
    <w:rsid w:val="00585ADF"/>
    <w:rsid w:val="00585C02"/>
    <w:rsid w:val="00586AE0"/>
    <w:rsid w:val="0059095C"/>
    <w:rsid w:val="00593D44"/>
    <w:rsid w:val="0059481F"/>
    <w:rsid w:val="00595D1F"/>
    <w:rsid w:val="0059608E"/>
    <w:rsid w:val="00596E89"/>
    <w:rsid w:val="005A0187"/>
    <w:rsid w:val="005A0919"/>
    <w:rsid w:val="005A234F"/>
    <w:rsid w:val="005A2662"/>
    <w:rsid w:val="005A2E81"/>
    <w:rsid w:val="005A3B60"/>
    <w:rsid w:val="005A3CE6"/>
    <w:rsid w:val="005A3D5F"/>
    <w:rsid w:val="005A468B"/>
    <w:rsid w:val="005A65D5"/>
    <w:rsid w:val="005B0340"/>
    <w:rsid w:val="005B0E6F"/>
    <w:rsid w:val="005B0F2E"/>
    <w:rsid w:val="005B206C"/>
    <w:rsid w:val="005B2D74"/>
    <w:rsid w:val="005B2E33"/>
    <w:rsid w:val="005B3076"/>
    <w:rsid w:val="005B32DB"/>
    <w:rsid w:val="005B391C"/>
    <w:rsid w:val="005B4EF0"/>
    <w:rsid w:val="005B6F4F"/>
    <w:rsid w:val="005B7AD2"/>
    <w:rsid w:val="005C1AEA"/>
    <w:rsid w:val="005C273E"/>
    <w:rsid w:val="005C286B"/>
    <w:rsid w:val="005C32BE"/>
    <w:rsid w:val="005C39C9"/>
    <w:rsid w:val="005C5E42"/>
    <w:rsid w:val="005C5F58"/>
    <w:rsid w:val="005C72E0"/>
    <w:rsid w:val="005D18BD"/>
    <w:rsid w:val="005D24A7"/>
    <w:rsid w:val="005D25E7"/>
    <w:rsid w:val="005D28B0"/>
    <w:rsid w:val="005D3089"/>
    <w:rsid w:val="005D4AE6"/>
    <w:rsid w:val="005D5E20"/>
    <w:rsid w:val="005E24DA"/>
    <w:rsid w:val="005E405D"/>
    <w:rsid w:val="005E453A"/>
    <w:rsid w:val="005F1828"/>
    <w:rsid w:val="005F37F8"/>
    <w:rsid w:val="005F54CB"/>
    <w:rsid w:val="005F56AB"/>
    <w:rsid w:val="005F6FDA"/>
    <w:rsid w:val="005F7163"/>
    <w:rsid w:val="005F7E62"/>
    <w:rsid w:val="00603388"/>
    <w:rsid w:val="006041C3"/>
    <w:rsid w:val="0060484B"/>
    <w:rsid w:val="00604878"/>
    <w:rsid w:val="00605C9D"/>
    <w:rsid w:val="00605ECB"/>
    <w:rsid w:val="0060612B"/>
    <w:rsid w:val="0060794B"/>
    <w:rsid w:val="00610E3E"/>
    <w:rsid w:val="0061188F"/>
    <w:rsid w:val="00612A08"/>
    <w:rsid w:val="00616279"/>
    <w:rsid w:val="00617096"/>
    <w:rsid w:val="00617DDA"/>
    <w:rsid w:val="006229D1"/>
    <w:rsid w:val="00625856"/>
    <w:rsid w:val="00625A44"/>
    <w:rsid w:val="00627A5E"/>
    <w:rsid w:val="0063006A"/>
    <w:rsid w:val="00630B5B"/>
    <w:rsid w:val="00631252"/>
    <w:rsid w:val="006435FA"/>
    <w:rsid w:val="006436DA"/>
    <w:rsid w:val="00643EC2"/>
    <w:rsid w:val="00645DD7"/>
    <w:rsid w:val="00646B6A"/>
    <w:rsid w:val="00646CD3"/>
    <w:rsid w:val="006470CB"/>
    <w:rsid w:val="00647467"/>
    <w:rsid w:val="006513C8"/>
    <w:rsid w:val="00651C97"/>
    <w:rsid w:val="0065366B"/>
    <w:rsid w:val="00655258"/>
    <w:rsid w:val="00655E5C"/>
    <w:rsid w:val="00660883"/>
    <w:rsid w:val="00662A69"/>
    <w:rsid w:val="00663265"/>
    <w:rsid w:val="00665643"/>
    <w:rsid w:val="006659DC"/>
    <w:rsid w:val="00666286"/>
    <w:rsid w:val="00667881"/>
    <w:rsid w:val="006710CB"/>
    <w:rsid w:val="0067188A"/>
    <w:rsid w:val="0067222D"/>
    <w:rsid w:val="00672633"/>
    <w:rsid w:val="00675F15"/>
    <w:rsid w:val="006761E4"/>
    <w:rsid w:val="0067661A"/>
    <w:rsid w:val="00676EC0"/>
    <w:rsid w:val="0067765D"/>
    <w:rsid w:val="00677726"/>
    <w:rsid w:val="006801B1"/>
    <w:rsid w:val="00681553"/>
    <w:rsid w:val="0068163A"/>
    <w:rsid w:val="00681FE7"/>
    <w:rsid w:val="00685F8C"/>
    <w:rsid w:val="006875DC"/>
    <w:rsid w:val="0069027C"/>
    <w:rsid w:val="006911B9"/>
    <w:rsid w:val="0069157A"/>
    <w:rsid w:val="00692B7A"/>
    <w:rsid w:val="00693BAA"/>
    <w:rsid w:val="00693DC3"/>
    <w:rsid w:val="00694B30"/>
    <w:rsid w:val="006969CE"/>
    <w:rsid w:val="00696BC2"/>
    <w:rsid w:val="00696EB5"/>
    <w:rsid w:val="00697AEB"/>
    <w:rsid w:val="00697C38"/>
    <w:rsid w:val="006A22F6"/>
    <w:rsid w:val="006A3122"/>
    <w:rsid w:val="006A4125"/>
    <w:rsid w:val="006A4305"/>
    <w:rsid w:val="006A5F74"/>
    <w:rsid w:val="006B0482"/>
    <w:rsid w:val="006B0FF8"/>
    <w:rsid w:val="006B19A2"/>
    <w:rsid w:val="006B1EFE"/>
    <w:rsid w:val="006B1F4B"/>
    <w:rsid w:val="006B4B4C"/>
    <w:rsid w:val="006B4C10"/>
    <w:rsid w:val="006B5B36"/>
    <w:rsid w:val="006B61FE"/>
    <w:rsid w:val="006C1153"/>
    <w:rsid w:val="006C1D8C"/>
    <w:rsid w:val="006C267D"/>
    <w:rsid w:val="006C2B3C"/>
    <w:rsid w:val="006C2E4F"/>
    <w:rsid w:val="006C3702"/>
    <w:rsid w:val="006C38ED"/>
    <w:rsid w:val="006C521A"/>
    <w:rsid w:val="006C5DE1"/>
    <w:rsid w:val="006C682B"/>
    <w:rsid w:val="006D1E0D"/>
    <w:rsid w:val="006D2EFE"/>
    <w:rsid w:val="006D421B"/>
    <w:rsid w:val="006D448A"/>
    <w:rsid w:val="006D474B"/>
    <w:rsid w:val="006D585A"/>
    <w:rsid w:val="006D5A30"/>
    <w:rsid w:val="006E0D30"/>
    <w:rsid w:val="006E1DFD"/>
    <w:rsid w:val="006E276B"/>
    <w:rsid w:val="006E4616"/>
    <w:rsid w:val="006E5037"/>
    <w:rsid w:val="006E5722"/>
    <w:rsid w:val="006E6660"/>
    <w:rsid w:val="006E6949"/>
    <w:rsid w:val="006E71EF"/>
    <w:rsid w:val="006E7474"/>
    <w:rsid w:val="006E7E3D"/>
    <w:rsid w:val="006F0EC6"/>
    <w:rsid w:val="006F0FA9"/>
    <w:rsid w:val="006F1662"/>
    <w:rsid w:val="006F1863"/>
    <w:rsid w:val="006F1B2A"/>
    <w:rsid w:val="006F1C8E"/>
    <w:rsid w:val="006F4ADB"/>
    <w:rsid w:val="006F609C"/>
    <w:rsid w:val="006F648F"/>
    <w:rsid w:val="00700858"/>
    <w:rsid w:val="0070283B"/>
    <w:rsid w:val="007056E9"/>
    <w:rsid w:val="00707225"/>
    <w:rsid w:val="00712891"/>
    <w:rsid w:val="00713AC9"/>
    <w:rsid w:val="007141F3"/>
    <w:rsid w:val="0071426D"/>
    <w:rsid w:val="007149C4"/>
    <w:rsid w:val="0071504C"/>
    <w:rsid w:val="0071619A"/>
    <w:rsid w:val="007179E4"/>
    <w:rsid w:val="007207CF"/>
    <w:rsid w:val="00720DBE"/>
    <w:rsid w:val="0072109B"/>
    <w:rsid w:val="007212EA"/>
    <w:rsid w:val="00721AC4"/>
    <w:rsid w:val="00724E14"/>
    <w:rsid w:val="00726601"/>
    <w:rsid w:val="00726A21"/>
    <w:rsid w:val="0073015C"/>
    <w:rsid w:val="00734DBC"/>
    <w:rsid w:val="00735583"/>
    <w:rsid w:val="00737055"/>
    <w:rsid w:val="007426BE"/>
    <w:rsid w:val="00743C3F"/>
    <w:rsid w:val="00747955"/>
    <w:rsid w:val="007505D1"/>
    <w:rsid w:val="007517F3"/>
    <w:rsid w:val="007518E3"/>
    <w:rsid w:val="00751EE7"/>
    <w:rsid w:val="00752A1F"/>
    <w:rsid w:val="00752D48"/>
    <w:rsid w:val="00752E38"/>
    <w:rsid w:val="0075342F"/>
    <w:rsid w:val="00753A4E"/>
    <w:rsid w:val="00753C74"/>
    <w:rsid w:val="00754764"/>
    <w:rsid w:val="00754F66"/>
    <w:rsid w:val="007574F6"/>
    <w:rsid w:val="0076400B"/>
    <w:rsid w:val="00764A34"/>
    <w:rsid w:val="007651D1"/>
    <w:rsid w:val="00767A1D"/>
    <w:rsid w:val="00772188"/>
    <w:rsid w:val="007722DD"/>
    <w:rsid w:val="00772492"/>
    <w:rsid w:val="007735A8"/>
    <w:rsid w:val="007740BA"/>
    <w:rsid w:val="0078179C"/>
    <w:rsid w:val="00783B9B"/>
    <w:rsid w:val="007842E1"/>
    <w:rsid w:val="00787A65"/>
    <w:rsid w:val="00790395"/>
    <w:rsid w:val="00790BA3"/>
    <w:rsid w:val="00791BA4"/>
    <w:rsid w:val="0079249E"/>
    <w:rsid w:val="0079269D"/>
    <w:rsid w:val="00792BAA"/>
    <w:rsid w:val="0079377F"/>
    <w:rsid w:val="0079649B"/>
    <w:rsid w:val="00796A93"/>
    <w:rsid w:val="0079784B"/>
    <w:rsid w:val="007A1C0E"/>
    <w:rsid w:val="007A218D"/>
    <w:rsid w:val="007A34D4"/>
    <w:rsid w:val="007A4B31"/>
    <w:rsid w:val="007A54B0"/>
    <w:rsid w:val="007B0EA6"/>
    <w:rsid w:val="007B2165"/>
    <w:rsid w:val="007B35B6"/>
    <w:rsid w:val="007B3865"/>
    <w:rsid w:val="007B40D6"/>
    <w:rsid w:val="007C11C8"/>
    <w:rsid w:val="007C1EF5"/>
    <w:rsid w:val="007C2E6B"/>
    <w:rsid w:val="007C4472"/>
    <w:rsid w:val="007C470D"/>
    <w:rsid w:val="007C5E93"/>
    <w:rsid w:val="007C6682"/>
    <w:rsid w:val="007C695B"/>
    <w:rsid w:val="007D06CC"/>
    <w:rsid w:val="007D4C07"/>
    <w:rsid w:val="007D50EA"/>
    <w:rsid w:val="007E06E6"/>
    <w:rsid w:val="007E1F7C"/>
    <w:rsid w:val="007E2158"/>
    <w:rsid w:val="007E2475"/>
    <w:rsid w:val="007E26CE"/>
    <w:rsid w:val="007E42C6"/>
    <w:rsid w:val="007E4843"/>
    <w:rsid w:val="007E5B7B"/>
    <w:rsid w:val="007E6561"/>
    <w:rsid w:val="007F0BA6"/>
    <w:rsid w:val="007F0D97"/>
    <w:rsid w:val="007F1AE3"/>
    <w:rsid w:val="007F1EDA"/>
    <w:rsid w:val="007F2696"/>
    <w:rsid w:val="007F2814"/>
    <w:rsid w:val="007F35B1"/>
    <w:rsid w:val="007F3734"/>
    <w:rsid w:val="007F4551"/>
    <w:rsid w:val="007F4D84"/>
    <w:rsid w:val="007F5096"/>
    <w:rsid w:val="007F6AB3"/>
    <w:rsid w:val="007F7468"/>
    <w:rsid w:val="0080359E"/>
    <w:rsid w:val="00805874"/>
    <w:rsid w:val="00806657"/>
    <w:rsid w:val="00812FFB"/>
    <w:rsid w:val="00813A16"/>
    <w:rsid w:val="00814C1F"/>
    <w:rsid w:val="00815EB8"/>
    <w:rsid w:val="00816BEF"/>
    <w:rsid w:val="00820901"/>
    <w:rsid w:val="00820EBD"/>
    <w:rsid w:val="00821BF0"/>
    <w:rsid w:val="00822023"/>
    <w:rsid w:val="00824EBB"/>
    <w:rsid w:val="008253FF"/>
    <w:rsid w:val="00826832"/>
    <w:rsid w:val="008275D9"/>
    <w:rsid w:val="008304DB"/>
    <w:rsid w:val="008304FF"/>
    <w:rsid w:val="00831FC8"/>
    <w:rsid w:val="00832199"/>
    <w:rsid w:val="0083522C"/>
    <w:rsid w:val="0083568B"/>
    <w:rsid w:val="00835BFB"/>
    <w:rsid w:val="00835DF4"/>
    <w:rsid w:val="0083640C"/>
    <w:rsid w:val="008369CF"/>
    <w:rsid w:val="008373D6"/>
    <w:rsid w:val="008404B9"/>
    <w:rsid w:val="00840A7D"/>
    <w:rsid w:val="008410E0"/>
    <w:rsid w:val="008413D5"/>
    <w:rsid w:val="00841E42"/>
    <w:rsid w:val="0084242A"/>
    <w:rsid w:val="00844691"/>
    <w:rsid w:val="008503B6"/>
    <w:rsid w:val="00851082"/>
    <w:rsid w:val="00853115"/>
    <w:rsid w:val="00853700"/>
    <w:rsid w:val="0085568F"/>
    <w:rsid w:val="00855C6B"/>
    <w:rsid w:val="008568D6"/>
    <w:rsid w:val="0085729B"/>
    <w:rsid w:val="008649D6"/>
    <w:rsid w:val="00866562"/>
    <w:rsid w:val="00867C2A"/>
    <w:rsid w:val="0087098C"/>
    <w:rsid w:val="00871899"/>
    <w:rsid w:val="00871CDC"/>
    <w:rsid w:val="00871F58"/>
    <w:rsid w:val="008740DE"/>
    <w:rsid w:val="00875C03"/>
    <w:rsid w:val="0087738F"/>
    <w:rsid w:val="00877AA6"/>
    <w:rsid w:val="00880469"/>
    <w:rsid w:val="008809CA"/>
    <w:rsid w:val="008814C2"/>
    <w:rsid w:val="00881B6E"/>
    <w:rsid w:val="00882273"/>
    <w:rsid w:val="00884086"/>
    <w:rsid w:val="008844F9"/>
    <w:rsid w:val="0088572A"/>
    <w:rsid w:val="00885C16"/>
    <w:rsid w:val="00886C22"/>
    <w:rsid w:val="00887D5D"/>
    <w:rsid w:val="00887F21"/>
    <w:rsid w:val="00890679"/>
    <w:rsid w:val="00891A29"/>
    <w:rsid w:val="00894184"/>
    <w:rsid w:val="008942C1"/>
    <w:rsid w:val="008955E1"/>
    <w:rsid w:val="00895666"/>
    <w:rsid w:val="00895979"/>
    <w:rsid w:val="00895C81"/>
    <w:rsid w:val="0089672F"/>
    <w:rsid w:val="0089746F"/>
    <w:rsid w:val="00897511"/>
    <w:rsid w:val="00897A85"/>
    <w:rsid w:val="008A0DDF"/>
    <w:rsid w:val="008A6B6F"/>
    <w:rsid w:val="008B078F"/>
    <w:rsid w:val="008B2163"/>
    <w:rsid w:val="008B3759"/>
    <w:rsid w:val="008B4066"/>
    <w:rsid w:val="008B4B29"/>
    <w:rsid w:val="008B4DF1"/>
    <w:rsid w:val="008B5827"/>
    <w:rsid w:val="008B6210"/>
    <w:rsid w:val="008B6571"/>
    <w:rsid w:val="008B65BA"/>
    <w:rsid w:val="008C1C4A"/>
    <w:rsid w:val="008C2B2D"/>
    <w:rsid w:val="008C34B6"/>
    <w:rsid w:val="008C65A4"/>
    <w:rsid w:val="008D380D"/>
    <w:rsid w:val="008D4C6F"/>
    <w:rsid w:val="008D5C1C"/>
    <w:rsid w:val="008D5D5C"/>
    <w:rsid w:val="008D5FD9"/>
    <w:rsid w:val="008E084B"/>
    <w:rsid w:val="008E0B36"/>
    <w:rsid w:val="008E4B49"/>
    <w:rsid w:val="008E595D"/>
    <w:rsid w:val="008E5E03"/>
    <w:rsid w:val="008E7AB8"/>
    <w:rsid w:val="008E7CEF"/>
    <w:rsid w:val="008F07FD"/>
    <w:rsid w:val="008F0886"/>
    <w:rsid w:val="008F0DEC"/>
    <w:rsid w:val="008F281F"/>
    <w:rsid w:val="008F2CCA"/>
    <w:rsid w:val="008F512F"/>
    <w:rsid w:val="009004F5"/>
    <w:rsid w:val="00900940"/>
    <w:rsid w:val="009018B6"/>
    <w:rsid w:val="00901F7A"/>
    <w:rsid w:val="009023D0"/>
    <w:rsid w:val="0090283C"/>
    <w:rsid w:val="00902F92"/>
    <w:rsid w:val="009030FC"/>
    <w:rsid w:val="00903874"/>
    <w:rsid w:val="00912145"/>
    <w:rsid w:val="00914917"/>
    <w:rsid w:val="00914E6C"/>
    <w:rsid w:val="00915FD4"/>
    <w:rsid w:val="009178F1"/>
    <w:rsid w:val="009224A3"/>
    <w:rsid w:val="009225A2"/>
    <w:rsid w:val="009233D5"/>
    <w:rsid w:val="0092463B"/>
    <w:rsid w:val="009251A3"/>
    <w:rsid w:val="009265E9"/>
    <w:rsid w:val="00926B58"/>
    <w:rsid w:val="009374AB"/>
    <w:rsid w:val="009377E9"/>
    <w:rsid w:val="009403D0"/>
    <w:rsid w:val="009403E4"/>
    <w:rsid w:val="00941192"/>
    <w:rsid w:val="00941F23"/>
    <w:rsid w:val="00943EF3"/>
    <w:rsid w:val="0094416B"/>
    <w:rsid w:val="009460F0"/>
    <w:rsid w:val="00947429"/>
    <w:rsid w:val="009547FF"/>
    <w:rsid w:val="00954E44"/>
    <w:rsid w:val="00956936"/>
    <w:rsid w:val="00957AF9"/>
    <w:rsid w:val="00957BCD"/>
    <w:rsid w:val="00960A0A"/>
    <w:rsid w:val="009613FF"/>
    <w:rsid w:val="009623DB"/>
    <w:rsid w:val="00963059"/>
    <w:rsid w:val="0096354B"/>
    <w:rsid w:val="009635A1"/>
    <w:rsid w:val="0096419A"/>
    <w:rsid w:val="00964313"/>
    <w:rsid w:val="00964D40"/>
    <w:rsid w:val="00964DAF"/>
    <w:rsid w:val="00964E7D"/>
    <w:rsid w:val="0096571B"/>
    <w:rsid w:val="009677DE"/>
    <w:rsid w:val="00973287"/>
    <w:rsid w:val="0097331D"/>
    <w:rsid w:val="0097522B"/>
    <w:rsid w:val="0097567C"/>
    <w:rsid w:val="009761D5"/>
    <w:rsid w:val="00981997"/>
    <w:rsid w:val="009827B9"/>
    <w:rsid w:val="00982981"/>
    <w:rsid w:val="00984AA0"/>
    <w:rsid w:val="00984EA6"/>
    <w:rsid w:val="00985355"/>
    <w:rsid w:val="009901B7"/>
    <w:rsid w:val="00992DF0"/>
    <w:rsid w:val="00994180"/>
    <w:rsid w:val="009970D9"/>
    <w:rsid w:val="00997625"/>
    <w:rsid w:val="00997BAA"/>
    <w:rsid w:val="009A3742"/>
    <w:rsid w:val="009A3B12"/>
    <w:rsid w:val="009A4122"/>
    <w:rsid w:val="009A414D"/>
    <w:rsid w:val="009A78A5"/>
    <w:rsid w:val="009B04DE"/>
    <w:rsid w:val="009B3163"/>
    <w:rsid w:val="009B5100"/>
    <w:rsid w:val="009B5CA6"/>
    <w:rsid w:val="009B6C4E"/>
    <w:rsid w:val="009B7350"/>
    <w:rsid w:val="009B7D72"/>
    <w:rsid w:val="009C0E77"/>
    <w:rsid w:val="009C1486"/>
    <w:rsid w:val="009C1EC9"/>
    <w:rsid w:val="009C3A1A"/>
    <w:rsid w:val="009C4030"/>
    <w:rsid w:val="009C5CE2"/>
    <w:rsid w:val="009C7E8C"/>
    <w:rsid w:val="009D047B"/>
    <w:rsid w:val="009D0810"/>
    <w:rsid w:val="009D1AEC"/>
    <w:rsid w:val="009D1C30"/>
    <w:rsid w:val="009D2C33"/>
    <w:rsid w:val="009D3151"/>
    <w:rsid w:val="009D31C1"/>
    <w:rsid w:val="009D4C2B"/>
    <w:rsid w:val="009D4DD7"/>
    <w:rsid w:val="009D5653"/>
    <w:rsid w:val="009D5A79"/>
    <w:rsid w:val="009E1F09"/>
    <w:rsid w:val="009E2CB3"/>
    <w:rsid w:val="009E2DE8"/>
    <w:rsid w:val="009E4C55"/>
    <w:rsid w:val="009E542C"/>
    <w:rsid w:val="009E5F8B"/>
    <w:rsid w:val="009E68CD"/>
    <w:rsid w:val="009E795B"/>
    <w:rsid w:val="009F0974"/>
    <w:rsid w:val="009F0F2E"/>
    <w:rsid w:val="009F1D8E"/>
    <w:rsid w:val="009F7EF1"/>
    <w:rsid w:val="009F7FD9"/>
    <w:rsid w:val="00A007D3"/>
    <w:rsid w:val="00A02369"/>
    <w:rsid w:val="00A04B83"/>
    <w:rsid w:val="00A07047"/>
    <w:rsid w:val="00A07ED2"/>
    <w:rsid w:val="00A12FD5"/>
    <w:rsid w:val="00A14252"/>
    <w:rsid w:val="00A14990"/>
    <w:rsid w:val="00A20C27"/>
    <w:rsid w:val="00A22654"/>
    <w:rsid w:val="00A23694"/>
    <w:rsid w:val="00A25DE3"/>
    <w:rsid w:val="00A25EEB"/>
    <w:rsid w:val="00A26A0E"/>
    <w:rsid w:val="00A26F49"/>
    <w:rsid w:val="00A2752B"/>
    <w:rsid w:val="00A34777"/>
    <w:rsid w:val="00A40CAC"/>
    <w:rsid w:val="00A412DD"/>
    <w:rsid w:val="00A41BC2"/>
    <w:rsid w:val="00A42004"/>
    <w:rsid w:val="00A4295F"/>
    <w:rsid w:val="00A455EE"/>
    <w:rsid w:val="00A507C1"/>
    <w:rsid w:val="00A50EE8"/>
    <w:rsid w:val="00A51F42"/>
    <w:rsid w:val="00A55624"/>
    <w:rsid w:val="00A55C92"/>
    <w:rsid w:val="00A56275"/>
    <w:rsid w:val="00A56965"/>
    <w:rsid w:val="00A60389"/>
    <w:rsid w:val="00A61057"/>
    <w:rsid w:val="00A61CBE"/>
    <w:rsid w:val="00A62B2D"/>
    <w:rsid w:val="00A63E1B"/>
    <w:rsid w:val="00A640D7"/>
    <w:rsid w:val="00A64937"/>
    <w:rsid w:val="00A65DBA"/>
    <w:rsid w:val="00A6625C"/>
    <w:rsid w:val="00A66CFB"/>
    <w:rsid w:val="00A67371"/>
    <w:rsid w:val="00A67D96"/>
    <w:rsid w:val="00A72031"/>
    <w:rsid w:val="00A724C2"/>
    <w:rsid w:val="00A7284F"/>
    <w:rsid w:val="00A73E8A"/>
    <w:rsid w:val="00A76E76"/>
    <w:rsid w:val="00A773F8"/>
    <w:rsid w:val="00A812EA"/>
    <w:rsid w:val="00A822E1"/>
    <w:rsid w:val="00A8236F"/>
    <w:rsid w:val="00A823F9"/>
    <w:rsid w:val="00A83C4D"/>
    <w:rsid w:val="00A840EB"/>
    <w:rsid w:val="00A85D9E"/>
    <w:rsid w:val="00A85E8A"/>
    <w:rsid w:val="00A8626A"/>
    <w:rsid w:val="00A8679D"/>
    <w:rsid w:val="00A87845"/>
    <w:rsid w:val="00A91110"/>
    <w:rsid w:val="00A91DA6"/>
    <w:rsid w:val="00A94F5B"/>
    <w:rsid w:val="00A959FF"/>
    <w:rsid w:val="00A9616A"/>
    <w:rsid w:val="00A96FAC"/>
    <w:rsid w:val="00AA071D"/>
    <w:rsid w:val="00AA0DA4"/>
    <w:rsid w:val="00AA20F2"/>
    <w:rsid w:val="00AA6B81"/>
    <w:rsid w:val="00AA7B71"/>
    <w:rsid w:val="00AA7DF1"/>
    <w:rsid w:val="00AB2664"/>
    <w:rsid w:val="00AB2861"/>
    <w:rsid w:val="00AB32B8"/>
    <w:rsid w:val="00AB3BBF"/>
    <w:rsid w:val="00AB51E8"/>
    <w:rsid w:val="00AB61F2"/>
    <w:rsid w:val="00AB7311"/>
    <w:rsid w:val="00AC0170"/>
    <w:rsid w:val="00AC180F"/>
    <w:rsid w:val="00AC433D"/>
    <w:rsid w:val="00AC4F0E"/>
    <w:rsid w:val="00AC6170"/>
    <w:rsid w:val="00AC6C80"/>
    <w:rsid w:val="00AD0BB9"/>
    <w:rsid w:val="00AD0F7D"/>
    <w:rsid w:val="00AD3148"/>
    <w:rsid w:val="00AD4C82"/>
    <w:rsid w:val="00AD4E31"/>
    <w:rsid w:val="00AD6EAC"/>
    <w:rsid w:val="00AD7FAF"/>
    <w:rsid w:val="00AE0F21"/>
    <w:rsid w:val="00AE226A"/>
    <w:rsid w:val="00AE2DC0"/>
    <w:rsid w:val="00AE3253"/>
    <w:rsid w:val="00AE4C78"/>
    <w:rsid w:val="00AE6955"/>
    <w:rsid w:val="00AE6EBE"/>
    <w:rsid w:val="00AE7637"/>
    <w:rsid w:val="00AF10B6"/>
    <w:rsid w:val="00AF3A11"/>
    <w:rsid w:val="00AF3B25"/>
    <w:rsid w:val="00AF3D4A"/>
    <w:rsid w:val="00AF44E1"/>
    <w:rsid w:val="00AF72B8"/>
    <w:rsid w:val="00AF7722"/>
    <w:rsid w:val="00B00295"/>
    <w:rsid w:val="00B01B35"/>
    <w:rsid w:val="00B03D26"/>
    <w:rsid w:val="00B0452C"/>
    <w:rsid w:val="00B06D47"/>
    <w:rsid w:val="00B1298A"/>
    <w:rsid w:val="00B15AC0"/>
    <w:rsid w:val="00B16973"/>
    <w:rsid w:val="00B211D4"/>
    <w:rsid w:val="00B21BB0"/>
    <w:rsid w:val="00B22D51"/>
    <w:rsid w:val="00B24BC3"/>
    <w:rsid w:val="00B24C1A"/>
    <w:rsid w:val="00B25DCF"/>
    <w:rsid w:val="00B27296"/>
    <w:rsid w:val="00B2732B"/>
    <w:rsid w:val="00B30897"/>
    <w:rsid w:val="00B31C2F"/>
    <w:rsid w:val="00B34723"/>
    <w:rsid w:val="00B35392"/>
    <w:rsid w:val="00B355E5"/>
    <w:rsid w:val="00B424FC"/>
    <w:rsid w:val="00B429D1"/>
    <w:rsid w:val="00B42FB5"/>
    <w:rsid w:val="00B430C3"/>
    <w:rsid w:val="00B432E3"/>
    <w:rsid w:val="00B44AE3"/>
    <w:rsid w:val="00B45552"/>
    <w:rsid w:val="00B458AB"/>
    <w:rsid w:val="00B45BE4"/>
    <w:rsid w:val="00B45D07"/>
    <w:rsid w:val="00B46431"/>
    <w:rsid w:val="00B4747B"/>
    <w:rsid w:val="00B50C0A"/>
    <w:rsid w:val="00B52035"/>
    <w:rsid w:val="00B52CA9"/>
    <w:rsid w:val="00B53612"/>
    <w:rsid w:val="00B54741"/>
    <w:rsid w:val="00B56929"/>
    <w:rsid w:val="00B578BB"/>
    <w:rsid w:val="00B604C9"/>
    <w:rsid w:val="00B634EF"/>
    <w:rsid w:val="00B645E9"/>
    <w:rsid w:val="00B6734E"/>
    <w:rsid w:val="00B709C7"/>
    <w:rsid w:val="00B70BFE"/>
    <w:rsid w:val="00B70DF7"/>
    <w:rsid w:val="00B72F44"/>
    <w:rsid w:val="00B734F7"/>
    <w:rsid w:val="00B73A54"/>
    <w:rsid w:val="00B75E9C"/>
    <w:rsid w:val="00B760C5"/>
    <w:rsid w:val="00B7721C"/>
    <w:rsid w:val="00B7792E"/>
    <w:rsid w:val="00B77D9C"/>
    <w:rsid w:val="00B82DDB"/>
    <w:rsid w:val="00B82ECF"/>
    <w:rsid w:val="00B8595C"/>
    <w:rsid w:val="00B85D51"/>
    <w:rsid w:val="00B866A1"/>
    <w:rsid w:val="00B919A6"/>
    <w:rsid w:val="00B93764"/>
    <w:rsid w:val="00B94096"/>
    <w:rsid w:val="00B96B41"/>
    <w:rsid w:val="00B96DB8"/>
    <w:rsid w:val="00B974B7"/>
    <w:rsid w:val="00BA174A"/>
    <w:rsid w:val="00BA7D64"/>
    <w:rsid w:val="00BB1BE6"/>
    <w:rsid w:val="00BB2354"/>
    <w:rsid w:val="00BB2F93"/>
    <w:rsid w:val="00BB3660"/>
    <w:rsid w:val="00BB5E87"/>
    <w:rsid w:val="00BB719D"/>
    <w:rsid w:val="00BB794A"/>
    <w:rsid w:val="00BC1AC3"/>
    <w:rsid w:val="00BC46F3"/>
    <w:rsid w:val="00BC682F"/>
    <w:rsid w:val="00BC7232"/>
    <w:rsid w:val="00BD1C5A"/>
    <w:rsid w:val="00BD25D5"/>
    <w:rsid w:val="00BD42B5"/>
    <w:rsid w:val="00BD550A"/>
    <w:rsid w:val="00BD5A1F"/>
    <w:rsid w:val="00BD5E02"/>
    <w:rsid w:val="00BD6F29"/>
    <w:rsid w:val="00BE00CF"/>
    <w:rsid w:val="00BE00F6"/>
    <w:rsid w:val="00BE0A80"/>
    <w:rsid w:val="00BE386D"/>
    <w:rsid w:val="00BE51C3"/>
    <w:rsid w:val="00BF0419"/>
    <w:rsid w:val="00BF240B"/>
    <w:rsid w:val="00BF32B1"/>
    <w:rsid w:val="00BF37BC"/>
    <w:rsid w:val="00BF4CBF"/>
    <w:rsid w:val="00BF5202"/>
    <w:rsid w:val="00BF6510"/>
    <w:rsid w:val="00C01E51"/>
    <w:rsid w:val="00C02D2A"/>
    <w:rsid w:val="00C04239"/>
    <w:rsid w:val="00C06092"/>
    <w:rsid w:val="00C07F69"/>
    <w:rsid w:val="00C10855"/>
    <w:rsid w:val="00C10EA0"/>
    <w:rsid w:val="00C11703"/>
    <w:rsid w:val="00C12548"/>
    <w:rsid w:val="00C12922"/>
    <w:rsid w:val="00C13202"/>
    <w:rsid w:val="00C13651"/>
    <w:rsid w:val="00C13D2A"/>
    <w:rsid w:val="00C1557F"/>
    <w:rsid w:val="00C16288"/>
    <w:rsid w:val="00C1721A"/>
    <w:rsid w:val="00C17964"/>
    <w:rsid w:val="00C17C24"/>
    <w:rsid w:val="00C20494"/>
    <w:rsid w:val="00C207E6"/>
    <w:rsid w:val="00C20C7B"/>
    <w:rsid w:val="00C21419"/>
    <w:rsid w:val="00C246A0"/>
    <w:rsid w:val="00C24C99"/>
    <w:rsid w:val="00C27E0D"/>
    <w:rsid w:val="00C3112E"/>
    <w:rsid w:val="00C34716"/>
    <w:rsid w:val="00C34F14"/>
    <w:rsid w:val="00C34F77"/>
    <w:rsid w:val="00C35395"/>
    <w:rsid w:val="00C37E84"/>
    <w:rsid w:val="00C41001"/>
    <w:rsid w:val="00C416A9"/>
    <w:rsid w:val="00C430FF"/>
    <w:rsid w:val="00C4480B"/>
    <w:rsid w:val="00C465FA"/>
    <w:rsid w:val="00C47EC3"/>
    <w:rsid w:val="00C50A5E"/>
    <w:rsid w:val="00C50DA7"/>
    <w:rsid w:val="00C514C7"/>
    <w:rsid w:val="00C51950"/>
    <w:rsid w:val="00C52CAA"/>
    <w:rsid w:val="00C5365D"/>
    <w:rsid w:val="00C56D67"/>
    <w:rsid w:val="00C64449"/>
    <w:rsid w:val="00C64844"/>
    <w:rsid w:val="00C659B9"/>
    <w:rsid w:val="00C669BD"/>
    <w:rsid w:val="00C70EB6"/>
    <w:rsid w:val="00C70F61"/>
    <w:rsid w:val="00C71583"/>
    <w:rsid w:val="00C7163D"/>
    <w:rsid w:val="00C71EC2"/>
    <w:rsid w:val="00C722DC"/>
    <w:rsid w:val="00C729DD"/>
    <w:rsid w:val="00C75183"/>
    <w:rsid w:val="00C76598"/>
    <w:rsid w:val="00C769E9"/>
    <w:rsid w:val="00C80FE2"/>
    <w:rsid w:val="00C823DD"/>
    <w:rsid w:val="00C82E9C"/>
    <w:rsid w:val="00C8436B"/>
    <w:rsid w:val="00C92730"/>
    <w:rsid w:val="00C92B3F"/>
    <w:rsid w:val="00C93D24"/>
    <w:rsid w:val="00C95D16"/>
    <w:rsid w:val="00C96E26"/>
    <w:rsid w:val="00C97C14"/>
    <w:rsid w:val="00CA0117"/>
    <w:rsid w:val="00CA0CB0"/>
    <w:rsid w:val="00CA0F0C"/>
    <w:rsid w:val="00CA20B0"/>
    <w:rsid w:val="00CA2BD9"/>
    <w:rsid w:val="00CA3A21"/>
    <w:rsid w:val="00CA4DA9"/>
    <w:rsid w:val="00CA56E3"/>
    <w:rsid w:val="00CA6FFF"/>
    <w:rsid w:val="00CA7C99"/>
    <w:rsid w:val="00CB003D"/>
    <w:rsid w:val="00CB1767"/>
    <w:rsid w:val="00CB1ABF"/>
    <w:rsid w:val="00CB259E"/>
    <w:rsid w:val="00CB4393"/>
    <w:rsid w:val="00CB641A"/>
    <w:rsid w:val="00CB750B"/>
    <w:rsid w:val="00CB7A5F"/>
    <w:rsid w:val="00CB7F79"/>
    <w:rsid w:val="00CC0802"/>
    <w:rsid w:val="00CC0AF0"/>
    <w:rsid w:val="00CC276C"/>
    <w:rsid w:val="00CC27FB"/>
    <w:rsid w:val="00CC3187"/>
    <w:rsid w:val="00CC3F5A"/>
    <w:rsid w:val="00CC5816"/>
    <w:rsid w:val="00CC7A5D"/>
    <w:rsid w:val="00CC7B56"/>
    <w:rsid w:val="00CC7D88"/>
    <w:rsid w:val="00CD05D2"/>
    <w:rsid w:val="00CD1193"/>
    <w:rsid w:val="00CD2F5D"/>
    <w:rsid w:val="00CD3911"/>
    <w:rsid w:val="00CD3B03"/>
    <w:rsid w:val="00CD5DD1"/>
    <w:rsid w:val="00CD7D72"/>
    <w:rsid w:val="00CE04CF"/>
    <w:rsid w:val="00CE12EE"/>
    <w:rsid w:val="00CE12F1"/>
    <w:rsid w:val="00CE152B"/>
    <w:rsid w:val="00CE40B3"/>
    <w:rsid w:val="00CE515C"/>
    <w:rsid w:val="00CE54A1"/>
    <w:rsid w:val="00CE649A"/>
    <w:rsid w:val="00CE72CB"/>
    <w:rsid w:val="00CE79DA"/>
    <w:rsid w:val="00CE7E30"/>
    <w:rsid w:val="00CF0EDE"/>
    <w:rsid w:val="00CF2FBD"/>
    <w:rsid w:val="00CF3423"/>
    <w:rsid w:val="00CF4F96"/>
    <w:rsid w:val="00CF7603"/>
    <w:rsid w:val="00D00745"/>
    <w:rsid w:val="00D017D1"/>
    <w:rsid w:val="00D034A3"/>
    <w:rsid w:val="00D041F3"/>
    <w:rsid w:val="00D07512"/>
    <w:rsid w:val="00D10AC6"/>
    <w:rsid w:val="00D11F8B"/>
    <w:rsid w:val="00D135C1"/>
    <w:rsid w:val="00D140C9"/>
    <w:rsid w:val="00D175EF"/>
    <w:rsid w:val="00D20DC1"/>
    <w:rsid w:val="00D26B8D"/>
    <w:rsid w:val="00D278EC"/>
    <w:rsid w:val="00D27DE5"/>
    <w:rsid w:val="00D307BE"/>
    <w:rsid w:val="00D3104D"/>
    <w:rsid w:val="00D33E9C"/>
    <w:rsid w:val="00D3761E"/>
    <w:rsid w:val="00D37B4B"/>
    <w:rsid w:val="00D4029F"/>
    <w:rsid w:val="00D418E4"/>
    <w:rsid w:val="00D41994"/>
    <w:rsid w:val="00D41D87"/>
    <w:rsid w:val="00D41F49"/>
    <w:rsid w:val="00D4324E"/>
    <w:rsid w:val="00D43C16"/>
    <w:rsid w:val="00D43F55"/>
    <w:rsid w:val="00D453A5"/>
    <w:rsid w:val="00D45A96"/>
    <w:rsid w:val="00D45BFF"/>
    <w:rsid w:val="00D47499"/>
    <w:rsid w:val="00D51031"/>
    <w:rsid w:val="00D53247"/>
    <w:rsid w:val="00D53274"/>
    <w:rsid w:val="00D538F5"/>
    <w:rsid w:val="00D5719D"/>
    <w:rsid w:val="00D61625"/>
    <w:rsid w:val="00D635B1"/>
    <w:rsid w:val="00D6708B"/>
    <w:rsid w:val="00D77976"/>
    <w:rsid w:val="00D803FC"/>
    <w:rsid w:val="00D80DE4"/>
    <w:rsid w:val="00D81DE9"/>
    <w:rsid w:val="00D83459"/>
    <w:rsid w:val="00D83950"/>
    <w:rsid w:val="00D8479B"/>
    <w:rsid w:val="00D87F67"/>
    <w:rsid w:val="00D90CEF"/>
    <w:rsid w:val="00D90F8E"/>
    <w:rsid w:val="00D915AA"/>
    <w:rsid w:val="00D916EB"/>
    <w:rsid w:val="00D95B96"/>
    <w:rsid w:val="00D972D6"/>
    <w:rsid w:val="00D9759F"/>
    <w:rsid w:val="00D9797D"/>
    <w:rsid w:val="00D97EA1"/>
    <w:rsid w:val="00DA1805"/>
    <w:rsid w:val="00DA1FF4"/>
    <w:rsid w:val="00DA335F"/>
    <w:rsid w:val="00DA388F"/>
    <w:rsid w:val="00DA3E98"/>
    <w:rsid w:val="00DA64B7"/>
    <w:rsid w:val="00DA6F59"/>
    <w:rsid w:val="00DA796B"/>
    <w:rsid w:val="00DA7B85"/>
    <w:rsid w:val="00DB1652"/>
    <w:rsid w:val="00DB1C41"/>
    <w:rsid w:val="00DB3202"/>
    <w:rsid w:val="00DB4735"/>
    <w:rsid w:val="00DB58F9"/>
    <w:rsid w:val="00DB6869"/>
    <w:rsid w:val="00DB6A6D"/>
    <w:rsid w:val="00DB6C7F"/>
    <w:rsid w:val="00DB783D"/>
    <w:rsid w:val="00DC03E4"/>
    <w:rsid w:val="00DC0464"/>
    <w:rsid w:val="00DC08D4"/>
    <w:rsid w:val="00DC0F30"/>
    <w:rsid w:val="00DC1E14"/>
    <w:rsid w:val="00DC31BE"/>
    <w:rsid w:val="00DC47CA"/>
    <w:rsid w:val="00DC4E52"/>
    <w:rsid w:val="00DC5181"/>
    <w:rsid w:val="00DC5319"/>
    <w:rsid w:val="00DC5C93"/>
    <w:rsid w:val="00DC5CCC"/>
    <w:rsid w:val="00DD5AA3"/>
    <w:rsid w:val="00DD7343"/>
    <w:rsid w:val="00DD7B64"/>
    <w:rsid w:val="00DE030C"/>
    <w:rsid w:val="00DE11DD"/>
    <w:rsid w:val="00DE2EF0"/>
    <w:rsid w:val="00DE4992"/>
    <w:rsid w:val="00DE5215"/>
    <w:rsid w:val="00DE658D"/>
    <w:rsid w:val="00DE781F"/>
    <w:rsid w:val="00DF226E"/>
    <w:rsid w:val="00DF248F"/>
    <w:rsid w:val="00DF36BF"/>
    <w:rsid w:val="00DF4F13"/>
    <w:rsid w:val="00DF6889"/>
    <w:rsid w:val="00E00C5A"/>
    <w:rsid w:val="00E0176C"/>
    <w:rsid w:val="00E05DEC"/>
    <w:rsid w:val="00E06D0E"/>
    <w:rsid w:val="00E108D6"/>
    <w:rsid w:val="00E10DB3"/>
    <w:rsid w:val="00E12B49"/>
    <w:rsid w:val="00E14272"/>
    <w:rsid w:val="00E1461B"/>
    <w:rsid w:val="00E1532D"/>
    <w:rsid w:val="00E15AC5"/>
    <w:rsid w:val="00E1707B"/>
    <w:rsid w:val="00E17142"/>
    <w:rsid w:val="00E20164"/>
    <w:rsid w:val="00E234E9"/>
    <w:rsid w:val="00E238DD"/>
    <w:rsid w:val="00E23F41"/>
    <w:rsid w:val="00E2542D"/>
    <w:rsid w:val="00E26D6C"/>
    <w:rsid w:val="00E31E14"/>
    <w:rsid w:val="00E33424"/>
    <w:rsid w:val="00E33C80"/>
    <w:rsid w:val="00E35360"/>
    <w:rsid w:val="00E355B4"/>
    <w:rsid w:val="00E368FB"/>
    <w:rsid w:val="00E407B4"/>
    <w:rsid w:val="00E4416E"/>
    <w:rsid w:val="00E441FD"/>
    <w:rsid w:val="00E45F44"/>
    <w:rsid w:val="00E46E87"/>
    <w:rsid w:val="00E50B4F"/>
    <w:rsid w:val="00E50E38"/>
    <w:rsid w:val="00E51389"/>
    <w:rsid w:val="00E54661"/>
    <w:rsid w:val="00E5531D"/>
    <w:rsid w:val="00E55B26"/>
    <w:rsid w:val="00E55B9C"/>
    <w:rsid w:val="00E560A3"/>
    <w:rsid w:val="00E57464"/>
    <w:rsid w:val="00E57E4C"/>
    <w:rsid w:val="00E60426"/>
    <w:rsid w:val="00E61D78"/>
    <w:rsid w:val="00E62BED"/>
    <w:rsid w:val="00E63275"/>
    <w:rsid w:val="00E63CAC"/>
    <w:rsid w:val="00E64971"/>
    <w:rsid w:val="00E64DF0"/>
    <w:rsid w:val="00E66056"/>
    <w:rsid w:val="00E665DE"/>
    <w:rsid w:val="00E6683B"/>
    <w:rsid w:val="00E70FC1"/>
    <w:rsid w:val="00E7161D"/>
    <w:rsid w:val="00E71BFB"/>
    <w:rsid w:val="00E71E1A"/>
    <w:rsid w:val="00E71EF7"/>
    <w:rsid w:val="00E7401E"/>
    <w:rsid w:val="00E749FC"/>
    <w:rsid w:val="00E7556E"/>
    <w:rsid w:val="00E76D17"/>
    <w:rsid w:val="00E8406E"/>
    <w:rsid w:val="00E8412F"/>
    <w:rsid w:val="00E842BD"/>
    <w:rsid w:val="00E84F23"/>
    <w:rsid w:val="00E86C5A"/>
    <w:rsid w:val="00E87109"/>
    <w:rsid w:val="00E90809"/>
    <w:rsid w:val="00E92798"/>
    <w:rsid w:val="00E930F1"/>
    <w:rsid w:val="00E948A4"/>
    <w:rsid w:val="00E95DB3"/>
    <w:rsid w:val="00E96453"/>
    <w:rsid w:val="00E9786A"/>
    <w:rsid w:val="00EA0F12"/>
    <w:rsid w:val="00EA1B55"/>
    <w:rsid w:val="00EA32A0"/>
    <w:rsid w:val="00EA3376"/>
    <w:rsid w:val="00EA44D5"/>
    <w:rsid w:val="00EA6BAE"/>
    <w:rsid w:val="00EA734F"/>
    <w:rsid w:val="00EA7BFE"/>
    <w:rsid w:val="00EB0EC6"/>
    <w:rsid w:val="00EB1068"/>
    <w:rsid w:val="00EB1205"/>
    <w:rsid w:val="00EB25AF"/>
    <w:rsid w:val="00EB3F4E"/>
    <w:rsid w:val="00EB4D68"/>
    <w:rsid w:val="00EB6678"/>
    <w:rsid w:val="00EB67D8"/>
    <w:rsid w:val="00EC005A"/>
    <w:rsid w:val="00EC1538"/>
    <w:rsid w:val="00EC2EC2"/>
    <w:rsid w:val="00EC57E0"/>
    <w:rsid w:val="00ED0F1D"/>
    <w:rsid w:val="00ED1ECC"/>
    <w:rsid w:val="00ED2DEC"/>
    <w:rsid w:val="00ED3DCA"/>
    <w:rsid w:val="00ED62DA"/>
    <w:rsid w:val="00EE180F"/>
    <w:rsid w:val="00EE2412"/>
    <w:rsid w:val="00EE6AD2"/>
    <w:rsid w:val="00EE6B4B"/>
    <w:rsid w:val="00EE6D68"/>
    <w:rsid w:val="00EF04E1"/>
    <w:rsid w:val="00EF1C29"/>
    <w:rsid w:val="00EF2BBF"/>
    <w:rsid w:val="00EF40C0"/>
    <w:rsid w:val="00EF47C6"/>
    <w:rsid w:val="00EF4B42"/>
    <w:rsid w:val="00EF53CB"/>
    <w:rsid w:val="00EF7C3B"/>
    <w:rsid w:val="00F01164"/>
    <w:rsid w:val="00F01FA8"/>
    <w:rsid w:val="00F02D20"/>
    <w:rsid w:val="00F03DE6"/>
    <w:rsid w:val="00F04ADF"/>
    <w:rsid w:val="00F051D0"/>
    <w:rsid w:val="00F06391"/>
    <w:rsid w:val="00F06C63"/>
    <w:rsid w:val="00F102D2"/>
    <w:rsid w:val="00F11FD5"/>
    <w:rsid w:val="00F13889"/>
    <w:rsid w:val="00F1493D"/>
    <w:rsid w:val="00F155FB"/>
    <w:rsid w:val="00F205B6"/>
    <w:rsid w:val="00F2063E"/>
    <w:rsid w:val="00F20780"/>
    <w:rsid w:val="00F210F1"/>
    <w:rsid w:val="00F22529"/>
    <w:rsid w:val="00F228E8"/>
    <w:rsid w:val="00F2291A"/>
    <w:rsid w:val="00F24283"/>
    <w:rsid w:val="00F25087"/>
    <w:rsid w:val="00F25B53"/>
    <w:rsid w:val="00F30322"/>
    <w:rsid w:val="00F3121B"/>
    <w:rsid w:val="00F31F6C"/>
    <w:rsid w:val="00F352A5"/>
    <w:rsid w:val="00F36272"/>
    <w:rsid w:val="00F36456"/>
    <w:rsid w:val="00F37230"/>
    <w:rsid w:val="00F402D9"/>
    <w:rsid w:val="00F4156E"/>
    <w:rsid w:val="00F41E84"/>
    <w:rsid w:val="00F43BF7"/>
    <w:rsid w:val="00F4544F"/>
    <w:rsid w:val="00F46879"/>
    <w:rsid w:val="00F475C8"/>
    <w:rsid w:val="00F540CD"/>
    <w:rsid w:val="00F54DEC"/>
    <w:rsid w:val="00F5534A"/>
    <w:rsid w:val="00F5770D"/>
    <w:rsid w:val="00F60A0D"/>
    <w:rsid w:val="00F60F9A"/>
    <w:rsid w:val="00F61A04"/>
    <w:rsid w:val="00F6217D"/>
    <w:rsid w:val="00F621C3"/>
    <w:rsid w:val="00F62998"/>
    <w:rsid w:val="00F62AB6"/>
    <w:rsid w:val="00F63AEB"/>
    <w:rsid w:val="00F64DF4"/>
    <w:rsid w:val="00F6540B"/>
    <w:rsid w:val="00F65838"/>
    <w:rsid w:val="00F733BA"/>
    <w:rsid w:val="00F744F9"/>
    <w:rsid w:val="00F74694"/>
    <w:rsid w:val="00F804F3"/>
    <w:rsid w:val="00F82481"/>
    <w:rsid w:val="00F830F3"/>
    <w:rsid w:val="00F93074"/>
    <w:rsid w:val="00F93146"/>
    <w:rsid w:val="00F934C7"/>
    <w:rsid w:val="00F935AB"/>
    <w:rsid w:val="00F93B63"/>
    <w:rsid w:val="00F93E1F"/>
    <w:rsid w:val="00F94AD9"/>
    <w:rsid w:val="00F9594D"/>
    <w:rsid w:val="00F95B2E"/>
    <w:rsid w:val="00F95FD8"/>
    <w:rsid w:val="00F96D86"/>
    <w:rsid w:val="00FA09FD"/>
    <w:rsid w:val="00FA0C55"/>
    <w:rsid w:val="00FA1B1A"/>
    <w:rsid w:val="00FA1E7F"/>
    <w:rsid w:val="00FA3DBA"/>
    <w:rsid w:val="00FA4924"/>
    <w:rsid w:val="00FA4C71"/>
    <w:rsid w:val="00FA7C64"/>
    <w:rsid w:val="00FB0848"/>
    <w:rsid w:val="00FB20B5"/>
    <w:rsid w:val="00FB4BF3"/>
    <w:rsid w:val="00FB5431"/>
    <w:rsid w:val="00FB601F"/>
    <w:rsid w:val="00FB7165"/>
    <w:rsid w:val="00FB7B6F"/>
    <w:rsid w:val="00FC09B5"/>
    <w:rsid w:val="00FC3F6D"/>
    <w:rsid w:val="00FC4A94"/>
    <w:rsid w:val="00FC5CA6"/>
    <w:rsid w:val="00FC62FD"/>
    <w:rsid w:val="00FC7798"/>
    <w:rsid w:val="00FD092A"/>
    <w:rsid w:val="00FD1474"/>
    <w:rsid w:val="00FD1CA4"/>
    <w:rsid w:val="00FD275D"/>
    <w:rsid w:val="00FD31A6"/>
    <w:rsid w:val="00FD41D2"/>
    <w:rsid w:val="00FD42AE"/>
    <w:rsid w:val="00FD4A84"/>
    <w:rsid w:val="00FD4D6D"/>
    <w:rsid w:val="00FD531A"/>
    <w:rsid w:val="00FD74D2"/>
    <w:rsid w:val="00FE1AEF"/>
    <w:rsid w:val="00FE28BD"/>
    <w:rsid w:val="00FE301C"/>
    <w:rsid w:val="00FE4763"/>
    <w:rsid w:val="00FE491D"/>
    <w:rsid w:val="00FE5772"/>
    <w:rsid w:val="00FE7307"/>
    <w:rsid w:val="00FE7525"/>
    <w:rsid w:val="00FE7A9C"/>
    <w:rsid w:val="00FF0AFD"/>
    <w:rsid w:val="00FF0B46"/>
    <w:rsid w:val="00FF1B42"/>
    <w:rsid w:val="00FF3197"/>
    <w:rsid w:val="00FF45E1"/>
    <w:rsid w:val="00FF4907"/>
    <w:rsid w:val="00FF4AF8"/>
    <w:rsid w:val="00FF4CF6"/>
    <w:rsid w:val="00FF7F1E"/>
    <w:rsid w:val="02DF88BF"/>
    <w:rsid w:val="04EE2248"/>
    <w:rsid w:val="04FC03A6"/>
    <w:rsid w:val="086FD314"/>
    <w:rsid w:val="0A2B9F98"/>
    <w:rsid w:val="0C3D0CFE"/>
    <w:rsid w:val="0FDB2D7F"/>
    <w:rsid w:val="1063A6F1"/>
    <w:rsid w:val="143994F5"/>
    <w:rsid w:val="23672DE7"/>
    <w:rsid w:val="2376F1CD"/>
    <w:rsid w:val="2850CE5C"/>
    <w:rsid w:val="3452C0C2"/>
    <w:rsid w:val="382B73A5"/>
    <w:rsid w:val="3E9EE572"/>
    <w:rsid w:val="42E36F0A"/>
    <w:rsid w:val="43C4797A"/>
    <w:rsid w:val="4BBF82F0"/>
    <w:rsid w:val="5228A4CC"/>
    <w:rsid w:val="583411B5"/>
    <w:rsid w:val="586FE843"/>
    <w:rsid w:val="5CB51FDB"/>
    <w:rsid w:val="5F86B0E9"/>
    <w:rsid w:val="620B3CDE"/>
    <w:rsid w:val="69122567"/>
    <w:rsid w:val="6F6B38F9"/>
    <w:rsid w:val="6FED4D4D"/>
    <w:rsid w:val="76EC43C4"/>
    <w:rsid w:val="7DA1DFE7"/>
    <w:rsid w:val="7E77C2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3">
      <o:colormru v:ext="edit" colors="#ccecff,#afd7ff,#dcbade"/>
    </o:shapedefaults>
    <o:shapelayout v:ext="edit">
      <o:idmap v:ext="edit" data="1"/>
    </o:shapelayout>
  </w:shapeDefaults>
  <w:decimalSymbol w:val="."/>
  <w:listSeparator w:val=","/>
  <w14:docId w14:val="2D72A360"/>
  <w15:docId w15:val="{DDC79DDF-2EA3-4C29-9EFD-9FEE4963AB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0" w:qFormat="1"/>
    <w:lsdException w:name="heading 1" w:locked="0" w:uiPriority="9" w:qFormat="1"/>
    <w:lsdException w:name="heading 2" w:locked="0" w:uiPriority="9" w:qFormat="1"/>
    <w:lsdException w:name="heading 3" w:locked="0" w:uiPriority="9" w:qFormat="1"/>
    <w:lsdException w:name="heading 4" w:locked="0" w:uiPriority="9" w:qFormat="1"/>
    <w:lsdException w:name="heading 5" w:locked="0" w:uiPriority="9" w:qFormat="1"/>
    <w:lsdException w:name="heading 6" w:locked="0" w:uiPriority="9" w:qFormat="1"/>
    <w:lsdException w:name="heading 7" w:locked="0" w:uiPriority="9" w:qFormat="1"/>
    <w:lsdException w:name="heading 8" w:locked="0" w:uiPriority="0" w:qFormat="1"/>
    <w:lsdException w:name="heading 9" w:locked="0" w:uiPriority="0" w:qFormat="1"/>
    <w:lsdException w:name="index 1" w:locked="0" w:semiHidden="1" w:unhideWhenUsed="1"/>
    <w:lsdException w:name="index 2" w:locked="0" w:semiHidden="1" w:unhideWhenUsed="1"/>
    <w:lsdException w:name="index 3" w:locked="0" w:semiHidden="1" w:unhideWhenUsed="1"/>
    <w:lsdException w:name="index 4" w:locked="0" w:semiHidden="1" w:unhideWhenUsed="1"/>
    <w:lsdException w:name="index 5" w:locked="0" w:semiHidden="1" w:unhideWhenUsed="1"/>
    <w:lsdException w:name="index 6" w:locked="0" w:semiHidden="1" w:unhideWhenUsed="1"/>
    <w:lsdException w:name="index 7" w:locked="0" w:semiHidden="1" w:unhideWhenUsed="1"/>
    <w:lsdException w:name="index 8" w:locked="0" w:semiHidden="1" w:unhideWhenUsed="1"/>
    <w:lsdException w:name="index 9" w:locked="0" w:semiHidden="1" w:unhideWhenUsed="1"/>
    <w:lsdException w:name="toc 1" w:locked="0" w:semiHidden="1" w:uiPriority="39" w:unhideWhenUsed="1" w:qFormat="1"/>
    <w:lsdException w:name="toc 2" w:locked="0" w:semiHidden="1" w:uiPriority="39" w:unhideWhenUsed="1" w:qFormat="1"/>
    <w:lsdException w:name="toc 3" w:locked="0" w:semiHidden="1" w:uiPriority="39" w:unhideWhenUsed="1" w:qFormat="1"/>
    <w:lsdException w:name="toc 4" w:locked="0" w:semiHidden="1" w:uiPriority="0" w:unhideWhenUsed="1"/>
    <w:lsdException w:name="toc 5" w:locked="0" w:semiHidden="1" w:uiPriority="0" w:unhideWhenUsed="1"/>
    <w:lsdException w:name="toc 6" w:locked="0" w:semiHidden="1" w:uiPriority="0" w:unhideWhenUsed="1"/>
    <w:lsdException w:name="toc 7" w:locked="0" w:semiHidden="1" w:uiPriority="0" w:unhideWhenUsed="1"/>
    <w:lsdException w:name="toc 8" w:locked="0" w:semiHidden="1" w:uiPriority="0" w:unhideWhenUsed="1"/>
    <w:lsdException w:name="toc 9" w:locked="0" w:semiHidden="1" w:uiPriority="0" w:unhideWhenUsed="1"/>
    <w:lsdException w:name="Normal Indent" w:locked="0" w:semiHidden="1" w:unhideWhenUsed="1"/>
    <w:lsdException w:name="footnote text" w:locked="0" w:semiHidden="1" w:unhideWhenUsed="1"/>
    <w:lsdException w:name="annotation text" w:locked="0" w:semiHidden="1" w:unhideWhenUsed="1"/>
    <w:lsdException w:name="header" w:locked="0" w:semiHidden="1" w:unhideWhenUsed="1"/>
    <w:lsdException w:name="footer" w:locked="0" w:semiHidden="1" w:unhideWhenUsed="1"/>
    <w:lsdException w:name="index heading" w:locked="0" w:semiHidden="1" w:unhideWhenUsed="1"/>
    <w:lsdException w:name="caption" w:locked="0" w:semiHidden="1" w:uiPriority="35" w:unhideWhenUsed="1" w:qFormat="1"/>
    <w:lsdException w:name="table of figures" w:locked="0" w:semiHidden="1" w:unhideWhenUsed="1"/>
    <w:lsdException w:name="envelope address" w:locked="0" w:semiHidden="1" w:unhideWhenUsed="1"/>
    <w:lsdException w:name="envelope return" w:locked="0" w:semiHidden="1" w:unhideWhenUsed="1"/>
    <w:lsdException w:name="footnote reference" w:locked="0" w:semiHidden="1" w:unhideWhenUsed="1"/>
    <w:lsdException w:name="annotation reference" w:locked="0" w:semiHidden="1" w:unhideWhenUsed="1"/>
    <w:lsdException w:name="line number" w:locked="0" w:semiHidden="1" w:unhideWhenUsed="1"/>
    <w:lsdException w:name="page number" w:locked="0" w:semiHidden="1" w:uiPriority="0" w:unhideWhenUsed="1"/>
    <w:lsdException w:name="endnote reference" w:locked="0" w:semiHidden="1" w:unhideWhenUsed="1"/>
    <w:lsdException w:name="endnote text" w:locked="0" w:semiHidden="1" w:unhideWhenUsed="1"/>
    <w:lsdException w:name="table of authorities" w:locked="0" w:semiHidden="1" w:unhideWhenUsed="1"/>
    <w:lsdException w:name="macro" w:locked="0" w:semiHidden="1" w:unhideWhenUsed="1"/>
    <w:lsdException w:name="toa heading" w:locked="0" w:semiHidden="1" w:uiPriority="0" w:unhideWhenUsed="1"/>
    <w:lsdException w:name="List" w:locked="0" w:semiHidden="1" w:unhideWhenUsed="1"/>
    <w:lsdException w:name="List Bullet" w:locked="0" w:semiHidden="1" w:unhideWhenUsed="1"/>
    <w:lsdException w:name="List Number" w:locked="0" w:semiHidden="1" w:unhideWhenUsed="1"/>
    <w:lsdException w:name="List 2" w:locked="0" w:semiHidden="1" w:unhideWhenUsed="1"/>
    <w:lsdException w:name="List 3" w:locked="0" w:semiHidden="1" w:unhideWhenUsed="1"/>
    <w:lsdException w:name="List 4" w:locked="0" w:semiHidden="1" w:unhideWhenUsed="1"/>
    <w:lsdException w:name="List 5" w:locked="0" w:semiHidden="1" w:unhideWhenUsed="1"/>
    <w:lsdException w:name="List Bullet 2" w:locked="0" w:semiHidden="1" w:unhideWhenUsed="1"/>
    <w:lsdException w:name="List Bullet 3" w:locked="0" w:semiHidden="1" w:unhideWhenUsed="1"/>
    <w:lsdException w:name="List Bullet 4" w:locked="0" w:semiHidden="1" w:unhideWhenUsed="1"/>
    <w:lsdException w:name="List Bullet 5" w:locked="0" w:semiHidden="1" w:unhideWhenUsed="1"/>
    <w:lsdException w:name="List Number 2" w:locked="0" w:semiHidden="1" w:unhideWhenUsed="1"/>
    <w:lsdException w:name="List Number 3" w:locked="0" w:semiHidden="1" w:unhideWhenUsed="1"/>
    <w:lsdException w:name="List Number 4" w:locked="0" w:semiHidden="1" w:unhideWhenUsed="1"/>
    <w:lsdException w:name="List Number 5" w:locked="0" w:semiHidden="1" w:unhideWhenUsed="1"/>
    <w:lsdException w:name="Title" w:locked="0" w:uiPriority="0" w:qFormat="1"/>
    <w:lsdException w:name="Closing" w:locked="0" w:semiHidden="1" w:unhideWhenUsed="1"/>
    <w:lsdException w:name="Signature" w:locked="0" w:semiHidden="1" w:unhideWhenUsed="1"/>
    <w:lsdException w:name="Default Paragraph Font" w:locked="0" w:semiHidden="1" w:uiPriority="1" w:unhideWhenUsed="1"/>
    <w:lsdException w:name="Body Text" w:locked="0" w:semiHidden="1" w:unhideWhenUsed="1"/>
    <w:lsdException w:name="Body Text Indent" w:locked="0" w:semiHidden="1" w:uiPriority="0" w:unhideWhenUsed="1"/>
    <w:lsdException w:name="List Continue" w:locked="0" w:semiHidden="1" w:unhideWhenUsed="1"/>
    <w:lsdException w:name="List Continue 2" w:locked="0" w:semiHidden="1" w:unhideWhenUsed="1"/>
    <w:lsdException w:name="List Continue 3" w:locked="0" w:semiHidden="1" w:unhideWhenUsed="1"/>
    <w:lsdException w:name="List Continue 4" w:locked="0" w:semiHidden="1" w:unhideWhenUsed="1"/>
    <w:lsdException w:name="List Continue 5" w:locked="0" w:semiHidden="1" w:unhideWhenUsed="1"/>
    <w:lsdException w:name="Message Header" w:locked="0" w:semiHidden="1" w:unhideWhenUsed="1"/>
    <w:lsdException w:name="Subtitle" w:locked="0" w:uiPriority="11" w:qFormat="1"/>
    <w:lsdException w:name="Salutation" w:locked="0" w:semiHidden="1" w:unhideWhenUsed="1"/>
    <w:lsdException w:name="Date" w:locked="0" w:semiHidden="1" w:unhideWhenUsed="1"/>
    <w:lsdException w:name="Body Text First Indent" w:locked="0" w:semiHidden="1" w:unhideWhenUsed="1"/>
    <w:lsdException w:name="Body Text First Indent 2" w:locked="0" w:semiHidden="1" w:unhideWhenUsed="1"/>
    <w:lsdException w:name="Note Heading" w:locked="0" w:semiHidden="1" w:unhideWhenUsed="1"/>
    <w:lsdException w:name="Body Text 2" w:locked="0" w:semiHidden="1" w:unhideWhenUsed="1"/>
    <w:lsdException w:name="Body Text 3" w:locked="0" w:semiHidden="1" w:unhideWhenUsed="1"/>
    <w:lsdException w:name="Body Text Indent 2" w:locked="0" w:semiHidden="1" w:uiPriority="0" w:unhideWhenUsed="1"/>
    <w:lsdException w:name="Body Text Indent 3" w:locked="0" w:semiHidden="1" w:unhideWhenUsed="1"/>
    <w:lsdException w:name="Block Text" w:locked="0" w:semiHidden="1" w:uiPriority="0" w:unhideWhenUsed="1"/>
    <w:lsdException w:name="Hyperlink" w:locked="0" w:semiHidden="1" w:unhideWhenUsed="1"/>
    <w:lsdException w:name="FollowedHyperlink" w:locked="0" w:semiHidden="1" w:unhideWhenUsed="1"/>
    <w:lsdException w:name="Strong" w:locked="0" w:uiPriority="22" w:qFormat="1"/>
    <w:lsdException w:name="Emphasis" w:locked="0" w:uiPriority="20" w:qFormat="1"/>
    <w:lsdException w:name="Document Map" w:locked="0" w:semiHidden="1" w:unhideWhenUsed="1"/>
    <w:lsdException w:name="Plain Text" w:locked="0" w:semiHidden="1" w:unhideWhenUsed="1"/>
    <w:lsdException w:name="E-mail Signature" w:locked="0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locked="0" w:semiHidden="1" w:unhideWhenUsed="1"/>
    <w:lsdException w:name="HTML Address" w:locked="0" w:semiHidden="1" w:unhideWhenUsed="1"/>
    <w:lsdException w:name="HTML Cite" w:locked="0" w:semiHidden="1" w:unhideWhenUsed="1"/>
    <w:lsdException w:name="HTML Code" w:locked="0" w:semiHidden="1" w:unhideWhenUsed="1"/>
    <w:lsdException w:name="HTML Definition" w:locked="0" w:semiHidden="1" w:unhideWhenUsed="1"/>
    <w:lsdException w:name="HTML Keyboard" w:locked="0" w:semiHidden="1" w:unhideWhenUsed="1"/>
    <w:lsdException w:name="HTML Preformatted" w:locked="0" w:semiHidden="1" w:unhideWhenUsed="1"/>
    <w:lsdException w:name="HTML Sample" w:locked="0" w:semiHidden="1" w:unhideWhenUsed="1"/>
    <w:lsdException w:name="HTML Typewriter" w:locked="0" w:semiHidden="1" w:unhideWhenUsed="1"/>
    <w:lsdException w:name="HTML Variable" w:locked="0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/>
    <w:lsdException w:name="Table Theme" w:semiHidden="1" w:unhideWhenUsed="1"/>
    <w:lsdException w:name="Placeholder Text" w:locked="0" w:semiHidden="1"/>
    <w:lsdException w:name="No Spacing" w:locked="0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locked="0" w:uiPriority="29" w:qFormat="1"/>
    <w:lsdException w:name="Intense Quote" w:locked="0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locked="0" w:uiPriority="19" w:qFormat="1"/>
    <w:lsdException w:name="Intense Emphasis" w:locked="0" w:uiPriority="21" w:qFormat="1"/>
    <w:lsdException w:name="Subtle Reference" w:locked="0" w:uiPriority="31" w:qFormat="1"/>
    <w:lsdException w:name="Intense Reference" w:locked="0" w:uiPriority="32" w:qFormat="1"/>
    <w:lsdException w:name="Book Title" w:locked="0" w:uiPriority="33" w:qFormat="1"/>
    <w:lsdException w:name="Bibliography" w:locked="0" w:semiHidden="1" w:uiPriority="37" w:unhideWhenUsed="1"/>
    <w:lsdException w:name="TOC Heading" w:locked="0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locked="0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locked="0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qFormat/>
    <w:rsid w:val="00A96FAC"/>
    <w:rPr>
      <w:sz w:val="24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6F0FA9"/>
    <w:pPr>
      <w:keepNext/>
      <w:spacing w:before="360" w:after="120"/>
      <w:outlineLvl w:val="0"/>
    </w:pPr>
    <w:rPr>
      <w:rFonts w:ascii="Times New Roman Bold" w:hAnsi="Times New Roman Bold"/>
      <w:b/>
      <w:smallCaps/>
      <w:sz w:val="36"/>
    </w:rPr>
  </w:style>
  <w:style w:type="paragraph" w:styleId="Heading2">
    <w:name w:val="heading 2"/>
    <w:basedOn w:val="Normal"/>
    <w:next w:val="Normal"/>
    <w:link w:val="Heading2Char"/>
    <w:uiPriority w:val="9"/>
    <w:qFormat/>
    <w:rsid w:val="007B3865"/>
    <w:pPr>
      <w:keepNext/>
      <w:pageBreakBefore/>
      <w:ind w:left="432" w:hanging="432"/>
      <w:outlineLvl w:val="1"/>
    </w:pPr>
    <w:rPr>
      <w:b/>
      <w:smallCaps/>
      <w:sz w:val="28"/>
    </w:rPr>
  </w:style>
  <w:style w:type="paragraph" w:styleId="Heading3">
    <w:name w:val="heading 3"/>
    <w:basedOn w:val="Normal"/>
    <w:next w:val="Normal"/>
    <w:link w:val="Heading3Char"/>
    <w:uiPriority w:val="9"/>
    <w:qFormat/>
    <w:rsid w:val="003A68DC"/>
    <w:pPr>
      <w:keepNext/>
      <w:tabs>
        <w:tab w:val="left" w:pos="-720"/>
      </w:tabs>
      <w:suppressAutoHyphens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uiPriority w:val="9"/>
    <w:qFormat/>
    <w:rsid w:val="00AC4F0E"/>
    <w:pPr>
      <w:keepNext/>
      <w:tabs>
        <w:tab w:val="left" w:pos="-720"/>
      </w:tabs>
      <w:suppressAutoHyphens/>
      <w:outlineLvl w:val="3"/>
    </w:pPr>
    <w:rPr>
      <w:rFonts w:ascii="Arial" w:hAnsi="Arial"/>
      <w:b/>
      <w:i/>
      <w:spacing w:val="-2"/>
      <w:sz w:val="20"/>
    </w:rPr>
  </w:style>
  <w:style w:type="paragraph" w:styleId="Heading5">
    <w:name w:val="heading 5"/>
    <w:basedOn w:val="Normal"/>
    <w:next w:val="Normal"/>
    <w:link w:val="Heading5Char"/>
    <w:uiPriority w:val="9"/>
    <w:qFormat/>
    <w:rsid w:val="00A455EE"/>
    <w:pPr>
      <w:keepNext/>
      <w:tabs>
        <w:tab w:val="left" w:pos="-720"/>
      </w:tabs>
      <w:suppressAutoHyphens/>
      <w:outlineLvl w:val="4"/>
    </w:pPr>
    <w:rPr>
      <w:b/>
      <w:spacing w:val="-2"/>
      <w:sz w:val="32"/>
    </w:rPr>
  </w:style>
  <w:style w:type="paragraph" w:styleId="Heading6">
    <w:name w:val="heading 6"/>
    <w:basedOn w:val="Normal"/>
    <w:next w:val="Normal"/>
    <w:link w:val="Heading6Char"/>
    <w:uiPriority w:val="9"/>
    <w:qFormat/>
    <w:rsid w:val="00A455EE"/>
    <w:pPr>
      <w:keepNext/>
      <w:outlineLvl w:val="5"/>
    </w:pPr>
    <w:rPr>
      <w:b/>
      <w:bCs/>
      <w:u w:val="single"/>
    </w:rPr>
  </w:style>
  <w:style w:type="paragraph" w:styleId="Heading7">
    <w:name w:val="heading 7"/>
    <w:basedOn w:val="Normal"/>
    <w:next w:val="Normal"/>
    <w:link w:val="Heading7Char"/>
    <w:uiPriority w:val="9"/>
    <w:qFormat/>
    <w:rsid w:val="00A455EE"/>
    <w:pPr>
      <w:keepNext/>
      <w:tabs>
        <w:tab w:val="left" w:pos="-720"/>
      </w:tabs>
      <w:suppressAutoHyphens/>
      <w:ind w:left="270"/>
      <w:outlineLvl w:val="6"/>
    </w:pPr>
    <w:rPr>
      <w:b/>
      <w:spacing w:val="-2"/>
    </w:rPr>
  </w:style>
  <w:style w:type="paragraph" w:styleId="Heading8">
    <w:name w:val="heading 8"/>
    <w:basedOn w:val="Normal"/>
    <w:next w:val="Normal"/>
    <w:qFormat/>
    <w:rsid w:val="00A455EE"/>
    <w:pPr>
      <w:keepNext/>
      <w:jc w:val="center"/>
      <w:outlineLvl w:val="7"/>
    </w:pPr>
    <w:rPr>
      <w:b/>
      <w:color w:val="999999"/>
    </w:rPr>
  </w:style>
  <w:style w:type="paragraph" w:styleId="Heading9">
    <w:name w:val="heading 9"/>
    <w:basedOn w:val="Normal"/>
    <w:next w:val="Normal"/>
    <w:qFormat/>
    <w:rsid w:val="00A455EE"/>
    <w:pPr>
      <w:keepNext/>
      <w:jc w:val="center"/>
      <w:outlineLvl w:val="8"/>
    </w:pPr>
    <w:rPr>
      <w:b/>
      <w:color w:val="FF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AHeading">
    <w:name w:val="toa heading"/>
    <w:basedOn w:val="Normal"/>
    <w:next w:val="Normal"/>
    <w:semiHidden/>
    <w:rsid w:val="00A455EE"/>
    <w:pPr>
      <w:tabs>
        <w:tab w:val="left" w:pos="9000"/>
        <w:tab w:val="right" w:pos="9360"/>
      </w:tabs>
      <w:suppressAutoHyphens/>
    </w:pPr>
    <w:rPr>
      <w:rFonts w:ascii="Courier" w:hAnsi="Courier"/>
      <w:sz w:val="23"/>
    </w:rPr>
  </w:style>
  <w:style w:type="paragraph" w:styleId="BodyText2">
    <w:name w:val="Body Text 2"/>
    <w:basedOn w:val="Normal"/>
    <w:link w:val="BodyText2Char"/>
    <w:uiPriority w:val="99"/>
    <w:rsid w:val="00A455EE"/>
    <w:pPr>
      <w:tabs>
        <w:tab w:val="left" w:pos="-720"/>
      </w:tabs>
      <w:suppressAutoHyphens/>
      <w:jc w:val="both"/>
    </w:pPr>
    <w:rPr>
      <w:spacing w:val="-2"/>
    </w:rPr>
  </w:style>
  <w:style w:type="paragraph" w:styleId="BodyText">
    <w:name w:val="Body Text"/>
    <w:basedOn w:val="Normal"/>
    <w:link w:val="BodyTextChar"/>
    <w:uiPriority w:val="99"/>
    <w:semiHidden/>
    <w:rsid w:val="00A455EE"/>
    <w:pPr>
      <w:tabs>
        <w:tab w:val="left" w:pos="-720"/>
      </w:tabs>
      <w:suppressAutoHyphens/>
    </w:pPr>
    <w:rPr>
      <w:rFonts w:ascii="Arial" w:hAnsi="Arial"/>
      <w:spacing w:val="-2"/>
      <w:sz w:val="22"/>
    </w:rPr>
  </w:style>
  <w:style w:type="paragraph" w:styleId="BodyText3">
    <w:name w:val="Body Text 3"/>
    <w:basedOn w:val="Normal"/>
    <w:link w:val="BodyText3Char"/>
    <w:uiPriority w:val="99"/>
    <w:rsid w:val="00A455EE"/>
    <w:pPr>
      <w:tabs>
        <w:tab w:val="left" w:pos="-720"/>
      </w:tabs>
      <w:suppressAutoHyphens/>
    </w:pPr>
    <w:rPr>
      <w:rFonts w:ascii="Arial" w:hAnsi="Arial"/>
      <w:b/>
      <w:spacing w:val="-2"/>
      <w:sz w:val="22"/>
    </w:rPr>
  </w:style>
  <w:style w:type="paragraph" w:styleId="Footer">
    <w:name w:val="footer"/>
    <w:basedOn w:val="Normal"/>
    <w:link w:val="FooterChar"/>
    <w:uiPriority w:val="99"/>
    <w:rsid w:val="002D7969"/>
    <w:pPr>
      <w:tabs>
        <w:tab w:val="center" w:pos="4320"/>
        <w:tab w:val="right" w:pos="8640"/>
      </w:tabs>
    </w:pPr>
    <w:rPr>
      <w:i/>
      <w:sz w:val="18"/>
    </w:rPr>
  </w:style>
  <w:style w:type="character" w:styleId="PageNumber">
    <w:name w:val="page number"/>
    <w:basedOn w:val="DefaultParagraphFont"/>
    <w:semiHidden/>
    <w:rsid w:val="00A455EE"/>
  </w:style>
  <w:style w:type="paragraph" w:styleId="Header">
    <w:name w:val="header"/>
    <w:basedOn w:val="Normal"/>
    <w:link w:val="HeaderChar"/>
    <w:uiPriority w:val="99"/>
    <w:semiHidden/>
    <w:rsid w:val="00CE649A"/>
    <w:pPr>
      <w:pBdr>
        <w:bottom w:val="single" w:sz="4" w:space="1" w:color="auto"/>
      </w:pBdr>
      <w:tabs>
        <w:tab w:val="center" w:pos="4320"/>
        <w:tab w:val="right" w:pos="8640"/>
      </w:tabs>
    </w:pPr>
    <w:rPr>
      <w:i/>
      <w:sz w:val="18"/>
    </w:rPr>
  </w:style>
  <w:style w:type="paragraph" w:customStyle="1" w:styleId="font5">
    <w:name w:val="font5"/>
    <w:basedOn w:val="Normal"/>
    <w:locked/>
    <w:rsid w:val="00A455EE"/>
    <w:pPr>
      <w:spacing w:before="100" w:beforeAutospacing="1" w:after="100" w:afterAutospacing="1"/>
    </w:pPr>
    <w:rPr>
      <w:rFonts w:ascii="Arial" w:hAnsi="Arial" w:cs="Arial"/>
      <w:sz w:val="20"/>
    </w:rPr>
  </w:style>
  <w:style w:type="paragraph" w:customStyle="1" w:styleId="xl24">
    <w:name w:val="xl24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5">
    <w:name w:val="xl25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6">
    <w:name w:val="xl26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7">
    <w:name w:val="xl27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8">
    <w:name w:val="xl28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29">
    <w:name w:val="xl29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0">
    <w:name w:val="xl30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1">
    <w:name w:val="xl31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9">
    <w:name w:val="xl39"/>
    <w:basedOn w:val="Normal"/>
    <w:locked/>
    <w:rsid w:val="00A455E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40">
    <w:name w:val="xl40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character" w:styleId="Hyperlink">
    <w:name w:val="Hyperlink"/>
    <w:basedOn w:val="DefaultParagraphFont"/>
    <w:uiPriority w:val="99"/>
    <w:rsid w:val="00A455EE"/>
    <w:rPr>
      <w:color w:val="0000FF"/>
      <w:u w:val="single"/>
    </w:rPr>
  </w:style>
  <w:style w:type="paragraph" w:styleId="BodyTextIndent">
    <w:name w:val="Body Text Indent"/>
    <w:basedOn w:val="Normal"/>
    <w:link w:val="BodyTextIndentChar"/>
    <w:semiHidden/>
    <w:rsid w:val="00A455EE"/>
    <w:pPr>
      <w:tabs>
        <w:tab w:val="left" w:pos="-720"/>
      </w:tabs>
      <w:suppressAutoHyphens/>
      <w:ind w:left="720" w:hanging="720"/>
    </w:pPr>
    <w:rPr>
      <w:color w:val="FF0000"/>
    </w:rPr>
  </w:style>
  <w:style w:type="character" w:styleId="FollowedHyperlink">
    <w:name w:val="FollowedHyperlink"/>
    <w:basedOn w:val="DefaultParagraphFont"/>
    <w:uiPriority w:val="99"/>
    <w:semiHidden/>
    <w:rsid w:val="00A455EE"/>
    <w:rPr>
      <w:color w:val="800080"/>
      <w:u w:val="single"/>
    </w:rPr>
  </w:style>
  <w:style w:type="paragraph" w:styleId="BodyTextIndent2">
    <w:name w:val="Body Text Indent 2"/>
    <w:basedOn w:val="Normal"/>
    <w:semiHidden/>
    <w:rsid w:val="00A455EE"/>
    <w:pPr>
      <w:tabs>
        <w:tab w:val="left" w:pos="-720"/>
      </w:tabs>
      <w:suppressAutoHyphens/>
      <w:ind w:left="720" w:hanging="720"/>
    </w:pPr>
    <w:rPr>
      <w:rFonts w:ascii="NewCenturySchlbk" w:hAnsi="NewCenturySchlbk"/>
    </w:rPr>
  </w:style>
  <w:style w:type="paragraph" w:styleId="BlockText">
    <w:name w:val="Block Text"/>
    <w:basedOn w:val="Normal"/>
    <w:semiHidden/>
    <w:rsid w:val="00A455EE"/>
    <w:pPr>
      <w:ind w:left="1080" w:right="1152" w:hanging="1080"/>
    </w:pPr>
  </w:style>
  <w:style w:type="paragraph" w:styleId="TOC1">
    <w:name w:val="toc 1"/>
    <w:basedOn w:val="Normal"/>
    <w:next w:val="Normal"/>
    <w:autoRedefine/>
    <w:uiPriority w:val="39"/>
    <w:qFormat/>
    <w:rsid w:val="00A507C1"/>
    <w:pPr>
      <w:tabs>
        <w:tab w:val="right" w:leader="dot" w:pos="9360"/>
      </w:tabs>
      <w:ind w:left="720" w:hanging="720"/>
    </w:pPr>
    <w:rPr>
      <w:szCs w:val="24"/>
    </w:rPr>
  </w:style>
  <w:style w:type="paragraph" w:styleId="TOC2">
    <w:name w:val="toc 2"/>
    <w:basedOn w:val="Normal"/>
    <w:next w:val="Normal"/>
    <w:autoRedefine/>
    <w:uiPriority w:val="39"/>
    <w:qFormat/>
    <w:rsid w:val="001F3ADD"/>
    <w:pPr>
      <w:ind w:left="1440"/>
    </w:pPr>
  </w:style>
  <w:style w:type="paragraph" w:styleId="TOC3">
    <w:name w:val="toc 3"/>
    <w:basedOn w:val="Normal"/>
    <w:next w:val="Normal"/>
    <w:autoRedefine/>
    <w:uiPriority w:val="39"/>
    <w:qFormat/>
    <w:rsid w:val="001F3ADD"/>
    <w:pPr>
      <w:ind w:left="1800"/>
    </w:pPr>
  </w:style>
  <w:style w:type="paragraph" w:styleId="TOC4">
    <w:name w:val="toc 4"/>
    <w:basedOn w:val="Normal"/>
    <w:next w:val="Normal"/>
    <w:autoRedefine/>
    <w:semiHidden/>
    <w:rsid w:val="00A455EE"/>
    <w:pPr>
      <w:ind w:left="720"/>
    </w:pPr>
  </w:style>
  <w:style w:type="paragraph" w:styleId="TOC5">
    <w:name w:val="toc 5"/>
    <w:basedOn w:val="Normal"/>
    <w:next w:val="Normal"/>
    <w:autoRedefine/>
    <w:semiHidden/>
    <w:rsid w:val="00A455EE"/>
    <w:pPr>
      <w:ind w:left="960"/>
    </w:pPr>
  </w:style>
  <w:style w:type="paragraph" w:styleId="TOC6">
    <w:name w:val="toc 6"/>
    <w:basedOn w:val="Normal"/>
    <w:next w:val="Normal"/>
    <w:autoRedefine/>
    <w:semiHidden/>
    <w:rsid w:val="00A455EE"/>
    <w:pPr>
      <w:ind w:left="1200"/>
    </w:pPr>
  </w:style>
  <w:style w:type="paragraph" w:styleId="TOC7">
    <w:name w:val="toc 7"/>
    <w:basedOn w:val="Normal"/>
    <w:next w:val="Normal"/>
    <w:autoRedefine/>
    <w:semiHidden/>
    <w:rsid w:val="00A455EE"/>
    <w:pPr>
      <w:ind w:left="1440"/>
    </w:pPr>
  </w:style>
  <w:style w:type="paragraph" w:styleId="TOC8">
    <w:name w:val="toc 8"/>
    <w:basedOn w:val="Normal"/>
    <w:next w:val="Normal"/>
    <w:autoRedefine/>
    <w:semiHidden/>
    <w:rsid w:val="00A455EE"/>
    <w:pPr>
      <w:ind w:left="1680"/>
    </w:pPr>
  </w:style>
  <w:style w:type="paragraph" w:styleId="TOC9">
    <w:name w:val="toc 9"/>
    <w:basedOn w:val="Normal"/>
    <w:next w:val="Normal"/>
    <w:autoRedefine/>
    <w:semiHidden/>
    <w:rsid w:val="00A455EE"/>
    <w:pPr>
      <w:ind w:left="1920"/>
    </w:pPr>
  </w:style>
  <w:style w:type="paragraph" w:styleId="BodyTextIndent3">
    <w:name w:val="Body Text Indent 3"/>
    <w:basedOn w:val="Normal"/>
    <w:link w:val="BodyTextIndent3Char"/>
    <w:uiPriority w:val="99"/>
    <w:rsid w:val="00A455EE"/>
    <w:pPr>
      <w:tabs>
        <w:tab w:val="right" w:pos="1080"/>
        <w:tab w:val="left" w:pos="1260"/>
        <w:tab w:val="right" w:leader="dot" w:pos="9360"/>
      </w:tabs>
      <w:spacing w:after="240"/>
      <w:ind w:left="1267" w:hanging="1267"/>
    </w:pPr>
    <w:rPr>
      <w:rFonts w:ascii="Palatino" w:hAnsi="Palatino"/>
    </w:rPr>
  </w:style>
  <w:style w:type="character" w:styleId="CommentReference">
    <w:name w:val="annotation reference"/>
    <w:basedOn w:val="DefaultParagraphFont"/>
    <w:uiPriority w:val="99"/>
    <w:semiHidden/>
    <w:rsid w:val="00A455E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A455EE"/>
    <w:rPr>
      <w:sz w:val="20"/>
    </w:rPr>
  </w:style>
  <w:style w:type="paragraph" w:styleId="BalloonText">
    <w:name w:val="Balloon Text"/>
    <w:basedOn w:val="Normal"/>
    <w:uiPriority w:val="99"/>
    <w:semiHidden/>
    <w:unhideWhenUsed/>
    <w:rsid w:val="00A455E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uiPriority w:val="99"/>
    <w:semiHidden/>
    <w:locked/>
    <w:rsid w:val="00A455EE"/>
    <w:rPr>
      <w:rFonts w:ascii="Tahoma" w:hAnsi="Tahoma" w:cs="Tahoma"/>
      <w:sz w:val="16"/>
      <w:szCs w:val="16"/>
    </w:rPr>
  </w:style>
  <w:style w:type="paragraph" w:customStyle="1" w:styleId="Bullet">
    <w:name w:val="Bullet"/>
    <w:basedOn w:val="BodyText"/>
    <w:next w:val="BodyText"/>
    <w:locked/>
    <w:rsid w:val="00A455EE"/>
    <w:pPr>
      <w:tabs>
        <w:tab w:val="clear" w:pos="-720"/>
      </w:tabs>
      <w:suppressAutoHyphens w:val="0"/>
      <w:spacing w:line="360" w:lineRule="auto"/>
      <w:ind w:left="1080"/>
    </w:pPr>
    <w:rPr>
      <w:rFonts w:ascii="Palatino" w:hAnsi="Palatino" w:cs="Arial"/>
      <w:spacing w:val="0"/>
      <w:sz w:val="24"/>
    </w:rPr>
  </w:style>
  <w:style w:type="paragraph" w:customStyle="1" w:styleId="TableBody">
    <w:name w:val="Table Body"/>
    <w:basedOn w:val="Normal"/>
    <w:link w:val="TableBodyChar"/>
    <w:rsid w:val="0060484B"/>
    <w:pPr>
      <w:spacing w:before="80" w:after="80"/>
    </w:pPr>
    <w:rPr>
      <w:sz w:val="20"/>
    </w:rPr>
  </w:style>
  <w:style w:type="paragraph" w:customStyle="1" w:styleId="TableHead">
    <w:name w:val="Table Head"/>
    <w:basedOn w:val="Normal"/>
    <w:next w:val="Normal"/>
    <w:rsid w:val="003414DB"/>
    <w:pPr>
      <w:keepNext/>
      <w:spacing w:before="80" w:after="80"/>
      <w:jc w:val="center"/>
    </w:pPr>
    <w:rPr>
      <w:rFonts w:ascii="Times New Roman Bold" w:hAnsi="Times New Roman Bold"/>
      <w:b/>
      <w:sz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C1E14"/>
    <w:rPr>
      <w:b/>
      <w:bCs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C1E14"/>
    <w:rPr>
      <w:rFonts w:ascii="Helvetica" w:hAnsi="Helvetica"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DC1E14"/>
    <w:rPr>
      <w:rFonts w:ascii="Helvetica" w:hAnsi="Helvetica"/>
    </w:rPr>
  </w:style>
  <w:style w:type="paragraph" w:styleId="ListParagraph">
    <w:name w:val="List Paragraph"/>
    <w:basedOn w:val="Normal"/>
    <w:uiPriority w:val="34"/>
    <w:qFormat/>
    <w:rsid w:val="00E64971"/>
    <w:pPr>
      <w:ind w:left="720"/>
      <w:contextualSpacing/>
    </w:pPr>
    <w:rPr>
      <w:bCs/>
    </w:rPr>
  </w:style>
  <w:style w:type="paragraph" w:customStyle="1" w:styleId="Default">
    <w:name w:val="Default"/>
    <w:locked/>
    <w:rsid w:val="00577DAD"/>
    <w:pPr>
      <w:autoSpaceDE w:val="0"/>
      <w:autoSpaceDN w:val="0"/>
      <w:adjustRightInd w:val="0"/>
    </w:pPr>
    <w:rPr>
      <w:rFonts w:eastAsiaTheme="minorHAnsi"/>
      <w:color w:val="000000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2D7969"/>
    <w:rPr>
      <w:i/>
      <w:sz w:val="18"/>
    </w:rPr>
  </w:style>
  <w:style w:type="character" w:styleId="PlaceholderText">
    <w:name w:val="Placeholder Text"/>
    <w:basedOn w:val="DefaultParagraphFont"/>
    <w:uiPriority w:val="99"/>
    <w:semiHidden/>
    <w:rsid w:val="00EA7BFE"/>
    <w:rPr>
      <w:color w:val="808080"/>
    </w:rPr>
  </w:style>
  <w:style w:type="paragraph" w:customStyle="1" w:styleId="HeaderRight">
    <w:name w:val="Header Right"/>
    <w:basedOn w:val="Header"/>
    <w:qFormat/>
    <w:locked/>
    <w:rsid w:val="00CE649A"/>
    <w:pPr>
      <w:jc w:val="right"/>
    </w:pPr>
    <w:rPr>
      <w:noProof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EA7BFE"/>
    <w:rPr>
      <w:rFonts w:ascii="Arial" w:hAnsi="Arial"/>
      <w:spacing w:val="-2"/>
      <w:sz w:val="22"/>
    </w:rPr>
  </w:style>
  <w:style w:type="character" w:customStyle="1" w:styleId="BodyTextIndentChar">
    <w:name w:val="Body Text Indent Char"/>
    <w:basedOn w:val="DefaultParagraphFont"/>
    <w:link w:val="BodyTextIndent"/>
    <w:semiHidden/>
    <w:rsid w:val="00EA7BFE"/>
    <w:rPr>
      <w:rFonts w:ascii="Helvetica" w:hAnsi="Helvetica"/>
      <w:color w:val="FF0000"/>
      <w:sz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DD5AA3"/>
    <w:pPr>
      <w:keepLines/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smallCaps w:val="0"/>
      <w:color w:val="365F91" w:themeColor="accent1" w:themeShade="BF"/>
      <w:sz w:val="32"/>
      <w:szCs w:val="32"/>
    </w:rPr>
  </w:style>
  <w:style w:type="paragraph" w:styleId="Caption">
    <w:name w:val="caption"/>
    <w:basedOn w:val="Normal"/>
    <w:next w:val="Normal"/>
    <w:uiPriority w:val="35"/>
    <w:unhideWhenUsed/>
    <w:qFormat/>
    <w:rsid w:val="002E6D7D"/>
    <w:pPr>
      <w:keepNext/>
    </w:pPr>
    <w:rPr>
      <w:iCs/>
      <w:szCs w:val="18"/>
    </w:rPr>
  </w:style>
  <w:style w:type="paragraph" w:styleId="TableofFigures">
    <w:name w:val="table of figures"/>
    <w:basedOn w:val="TOC1"/>
    <w:next w:val="Normal"/>
    <w:uiPriority w:val="99"/>
    <w:unhideWhenUsed/>
    <w:rsid w:val="00DD5AA3"/>
  </w:style>
  <w:style w:type="table" w:styleId="TableGrid">
    <w:name w:val="Table Grid"/>
    <w:aliases w:val="SJRWMD Table"/>
    <w:basedOn w:val="TableNormal"/>
    <w:uiPriority w:val="99"/>
    <w:locked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styleId="GridTable1Light-Accent1">
    <w:name w:val="Grid Table 1 Light Accent 1"/>
    <w:basedOn w:val="TableNormal"/>
    <w:uiPriority w:val="46"/>
    <w:locked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Heading1Char">
    <w:name w:val="Heading 1 Char"/>
    <w:basedOn w:val="DefaultParagraphFont"/>
    <w:link w:val="Heading1"/>
    <w:uiPriority w:val="9"/>
    <w:rsid w:val="006F0FA9"/>
    <w:rPr>
      <w:rFonts w:ascii="Times New Roman Bold" w:hAnsi="Times New Roman Bold"/>
      <w:b/>
      <w:smallCaps/>
      <w:sz w:val="36"/>
    </w:rPr>
  </w:style>
  <w:style w:type="character" w:customStyle="1" w:styleId="Heading2Char">
    <w:name w:val="Heading 2 Char"/>
    <w:basedOn w:val="DefaultParagraphFont"/>
    <w:link w:val="Heading2"/>
    <w:uiPriority w:val="9"/>
    <w:rsid w:val="007B3865"/>
    <w:rPr>
      <w:b/>
      <w:smallCaps/>
      <w:sz w:val="28"/>
    </w:rPr>
  </w:style>
  <w:style w:type="character" w:customStyle="1" w:styleId="Heading3Char">
    <w:name w:val="Heading 3 Char"/>
    <w:basedOn w:val="DefaultParagraphFont"/>
    <w:link w:val="Heading3"/>
    <w:uiPriority w:val="9"/>
    <w:rsid w:val="003509AB"/>
    <w:rPr>
      <w:b/>
      <w:sz w:val="24"/>
    </w:rPr>
  </w:style>
  <w:style w:type="character" w:customStyle="1" w:styleId="Heading4Char">
    <w:name w:val="Heading 4 Char"/>
    <w:basedOn w:val="DefaultParagraphFont"/>
    <w:link w:val="Heading4"/>
    <w:uiPriority w:val="9"/>
    <w:rsid w:val="00AC4F0E"/>
    <w:rPr>
      <w:rFonts w:ascii="Arial" w:hAnsi="Arial"/>
      <w:b/>
      <w:i/>
      <w:spacing w:val="-2"/>
    </w:rPr>
  </w:style>
  <w:style w:type="character" w:customStyle="1" w:styleId="Heading5Char">
    <w:name w:val="Heading 5 Char"/>
    <w:basedOn w:val="DefaultParagraphFont"/>
    <w:link w:val="Heading5"/>
    <w:uiPriority w:val="9"/>
    <w:rsid w:val="003509AB"/>
    <w:rPr>
      <w:b/>
      <w:spacing w:val="-2"/>
      <w:sz w:val="32"/>
    </w:rPr>
  </w:style>
  <w:style w:type="paragraph" w:styleId="Title">
    <w:name w:val="Title"/>
    <w:basedOn w:val="Normal"/>
    <w:next w:val="Normal"/>
    <w:link w:val="TitleChar"/>
    <w:qFormat/>
    <w:rsid w:val="003509AB"/>
    <w:pPr>
      <w:spacing w:after="300"/>
      <w:contextualSpacing/>
      <w:jc w:val="center"/>
    </w:pPr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3509AB"/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paragraph" w:styleId="NoSpacing">
    <w:name w:val="No Spacing"/>
    <w:link w:val="NoSpacingChar"/>
    <w:uiPriority w:val="1"/>
    <w:qFormat/>
    <w:rsid w:val="00464A82"/>
    <w:rPr>
      <w:rFonts w:ascii="Arial" w:eastAsiaTheme="minorHAnsi" w:hAnsi="Arial" w:cstheme="minorBidi"/>
      <w:sz w:val="18"/>
      <w:szCs w:val="22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3509AB"/>
    <w:rPr>
      <w:i/>
      <w:sz w:val="18"/>
    </w:rPr>
  </w:style>
  <w:style w:type="paragraph" w:styleId="Bibliography">
    <w:name w:val="Bibliography"/>
    <w:basedOn w:val="Normal"/>
    <w:next w:val="Normal"/>
    <w:uiPriority w:val="37"/>
    <w:unhideWhenUsed/>
    <w:rsid w:val="003509AB"/>
    <w:pPr>
      <w:spacing w:line="480" w:lineRule="auto"/>
      <w:ind w:left="720" w:hanging="720"/>
    </w:pPr>
    <w:rPr>
      <w:rFonts w:ascii="Arial" w:eastAsiaTheme="minorHAnsi" w:hAnsi="Arial" w:cstheme="minorBidi"/>
      <w:sz w:val="26"/>
      <w:szCs w:val="22"/>
    </w:rPr>
  </w:style>
  <w:style w:type="character" w:customStyle="1" w:styleId="NoSpacingChar">
    <w:name w:val="No Spacing Char"/>
    <w:basedOn w:val="DefaultParagraphFont"/>
    <w:link w:val="NoSpacing"/>
    <w:uiPriority w:val="1"/>
    <w:rsid w:val="00464A82"/>
    <w:rPr>
      <w:rFonts w:ascii="Arial" w:eastAsiaTheme="minorHAnsi" w:hAnsi="Arial" w:cstheme="minorBidi"/>
      <w:sz w:val="18"/>
      <w:szCs w:val="22"/>
    </w:rPr>
  </w:style>
  <w:style w:type="paragraph" w:customStyle="1" w:styleId="Figure">
    <w:name w:val="Figure"/>
    <w:basedOn w:val="Normal"/>
    <w:next w:val="Caption"/>
    <w:uiPriority w:val="99"/>
    <w:qFormat/>
    <w:rsid w:val="00806657"/>
    <w:pPr>
      <w:keepNext/>
    </w:pPr>
    <w:rPr>
      <w:sz w:val="18"/>
      <w:szCs w:val="24"/>
      <w:lang w:eastAsia="ru-RU"/>
    </w:rPr>
  </w:style>
  <w:style w:type="character" w:customStyle="1" w:styleId="Heading6Char">
    <w:name w:val="Heading 6 Char"/>
    <w:basedOn w:val="DefaultParagraphFont"/>
    <w:link w:val="Heading6"/>
    <w:uiPriority w:val="9"/>
    <w:rsid w:val="003509AB"/>
    <w:rPr>
      <w:b/>
      <w:bCs/>
      <w:sz w:val="24"/>
      <w:u w:val="single"/>
    </w:rPr>
  </w:style>
  <w:style w:type="character" w:customStyle="1" w:styleId="BodyText2Char">
    <w:name w:val="Body Text 2 Char"/>
    <w:basedOn w:val="DefaultParagraphFont"/>
    <w:link w:val="BodyText2"/>
    <w:uiPriority w:val="99"/>
    <w:rsid w:val="003509AB"/>
    <w:rPr>
      <w:spacing w:val="-2"/>
      <w:sz w:val="24"/>
    </w:rPr>
  </w:style>
  <w:style w:type="character" w:customStyle="1" w:styleId="BodyText3Char">
    <w:name w:val="Body Text 3 Char"/>
    <w:basedOn w:val="DefaultParagraphFont"/>
    <w:link w:val="BodyText3"/>
    <w:uiPriority w:val="99"/>
    <w:rsid w:val="003509AB"/>
    <w:rPr>
      <w:rFonts w:ascii="Arial" w:hAnsi="Arial"/>
      <w:b/>
      <w:spacing w:val="-2"/>
      <w:sz w:val="22"/>
    </w:rPr>
  </w:style>
  <w:style w:type="paragraph" w:styleId="BodyTextFirstIndent">
    <w:name w:val="Body Text First Indent"/>
    <w:basedOn w:val="BodyText"/>
    <w:link w:val="BodyTextFirstIndentChar"/>
    <w:uiPriority w:val="99"/>
    <w:unhideWhenUsed/>
    <w:rsid w:val="003509AB"/>
    <w:pPr>
      <w:tabs>
        <w:tab w:val="clear" w:pos="-720"/>
      </w:tabs>
      <w:suppressAutoHyphens w:val="0"/>
      <w:spacing w:after="200" w:line="276" w:lineRule="auto"/>
      <w:ind w:firstLine="360"/>
    </w:pPr>
    <w:rPr>
      <w:rFonts w:eastAsiaTheme="minorHAnsi" w:cstheme="minorBidi"/>
      <w:spacing w:val="0"/>
      <w:sz w:val="26"/>
      <w:szCs w:val="22"/>
    </w:rPr>
  </w:style>
  <w:style w:type="character" w:customStyle="1" w:styleId="BodyTextFirstIndentChar">
    <w:name w:val="Body Text First Indent Char"/>
    <w:basedOn w:val="BodyTextChar"/>
    <w:link w:val="BodyTextFirstIndent"/>
    <w:uiPriority w:val="99"/>
    <w:rsid w:val="003509AB"/>
    <w:rPr>
      <w:rFonts w:ascii="Arial" w:eastAsiaTheme="minorHAnsi" w:hAnsi="Arial" w:cstheme="minorBidi"/>
      <w:spacing w:val="-2"/>
      <w:sz w:val="26"/>
      <w:szCs w:val="22"/>
    </w:rPr>
  </w:style>
  <w:style w:type="character" w:customStyle="1" w:styleId="BodyTextIndent3Char">
    <w:name w:val="Body Text Indent 3 Char"/>
    <w:basedOn w:val="DefaultParagraphFont"/>
    <w:link w:val="BodyTextIndent3"/>
    <w:uiPriority w:val="99"/>
    <w:rsid w:val="003509AB"/>
    <w:rPr>
      <w:rFonts w:ascii="Palatino" w:hAnsi="Palatino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rsid w:val="003509AB"/>
    <w:rPr>
      <w:b/>
      <w:spacing w:val="-2"/>
      <w:sz w:val="24"/>
    </w:rPr>
  </w:style>
  <w:style w:type="paragraph" w:styleId="NormalWeb">
    <w:name w:val="Normal (Web)"/>
    <w:basedOn w:val="Normal"/>
    <w:uiPriority w:val="99"/>
    <w:semiHidden/>
    <w:unhideWhenUsed/>
    <w:rsid w:val="008844F9"/>
    <w:pPr>
      <w:spacing w:before="100" w:beforeAutospacing="1" w:after="100" w:afterAutospacing="1"/>
    </w:pPr>
    <w:rPr>
      <w:rFonts w:eastAsiaTheme="minorEastAsia"/>
      <w:szCs w:val="24"/>
    </w:rPr>
  </w:style>
  <w:style w:type="paragraph" w:styleId="ListNumber">
    <w:name w:val="List Number"/>
    <w:basedOn w:val="Normal"/>
    <w:uiPriority w:val="99"/>
    <w:unhideWhenUsed/>
    <w:rsid w:val="00011405"/>
    <w:pPr>
      <w:numPr>
        <w:numId w:val="15"/>
      </w:numPr>
      <w:contextualSpacing/>
    </w:pPr>
  </w:style>
  <w:style w:type="paragraph" w:customStyle="1" w:styleId="Normal1">
    <w:name w:val="Normal1"/>
    <w:locked/>
    <w:rsid w:val="006F0FA9"/>
    <w:pPr>
      <w:widowControl w:val="0"/>
      <w:ind w:firstLine="720"/>
      <w:contextualSpacing/>
    </w:pPr>
    <w:rPr>
      <w:color w:val="000000"/>
      <w:sz w:val="24"/>
    </w:rPr>
  </w:style>
  <w:style w:type="paragraph" w:styleId="ListBullet">
    <w:name w:val="List Bullet"/>
    <w:basedOn w:val="Normal"/>
    <w:uiPriority w:val="99"/>
    <w:unhideWhenUsed/>
    <w:rsid w:val="006F0FA9"/>
    <w:pPr>
      <w:numPr>
        <w:numId w:val="10"/>
      </w:numPr>
      <w:contextualSpacing/>
    </w:pPr>
  </w:style>
  <w:style w:type="paragraph" w:styleId="ListBullet2">
    <w:name w:val="List Bullet 2"/>
    <w:basedOn w:val="Normal"/>
    <w:uiPriority w:val="99"/>
    <w:unhideWhenUsed/>
    <w:rsid w:val="00694B30"/>
    <w:pPr>
      <w:numPr>
        <w:numId w:val="11"/>
      </w:numPr>
      <w:contextualSpacing/>
    </w:pPr>
  </w:style>
  <w:style w:type="table" w:styleId="GridTable1Light">
    <w:name w:val="Grid Table 1 Light"/>
    <w:basedOn w:val="TableNormal"/>
    <w:uiPriority w:val="46"/>
    <w:rsid w:val="007C5E93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Footer-PageNumber">
    <w:name w:val="Footer - Page Number"/>
    <w:basedOn w:val="Footer"/>
    <w:qFormat/>
    <w:locked/>
    <w:rsid w:val="0072109B"/>
    <w:pPr>
      <w:pBdr>
        <w:top w:val="single" w:sz="6" w:space="1" w:color="auto"/>
      </w:pBdr>
      <w:tabs>
        <w:tab w:val="clear" w:pos="4320"/>
        <w:tab w:val="clear" w:pos="8640"/>
        <w:tab w:val="right" w:pos="9360"/>
      </w:tabs>
    </w:pPr>
  </w:style>
  <w:style w:type="paragraph" w:customStyle="1" w:styleId="msonormal0">
    <w:name w:val="msonormal"/>
    <w:basedOn w:val="Normal"/>
    <w:locked/>
    <w:rsid w:val="008C65A4"/>
    <w:pPr>
      <w:spacing w:before="100" w:beforeAutospacing="1" w:after="100" w:afterAutospacing="1"/>
    </w:pPr>
    <w:rPr>
      <w:szCs w:val="24"/>
    </w:rPr>
  </w:style>
  <w:style w:type="paragraph" w:customStyle="1" w:styleId="xl65">
    <w:name w:val="xl65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6">
    <w:name w:val="xl66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7">
    <w:name w:val="xl67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8">
    <w:name w:val="xl68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9">
    <w:name w:val="xl69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70">
    <w:name w:val="xl70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1">
    <w:name w:val="xl71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2">
    <w:name w:val="xl72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xl73">
    <w:name w:val="xl73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TableRowHeader">
    <w:name w:val="Table Row Header"/>
    <w:basedOn w:val="Normal"/>
    <w:qFormat/>
    <w:locked/>
    <w:rsid w:val="001B0DA3"/>
    <w:pPr>
      <w:keepNext/>
      <w:keepLines/>
      <w:spacing w:before="100" w:beforeAutospacing="1" w:after="100" w:afterAutospacing="1"/>
      <w:jc w:val="center"/>
    </w:pPr>
    <w:rPr>
      <w:rFonts w:ascii="Arial" w:eastAsiaTheme="majorEastAsia" w:hAnsi="Arial" w:cstheme="majorBidi"/>
      <w:sz w:val="22"/>
      <w:szCs w:val="24"/>
    </w:rPr>
  </w:style>
  <w:style w:type="paragraph" w:customStyle="1" w:styleId="TableCellNumber">
    <w:name w:val="Table Cell Number"/>
    <w:basedOn w:val="Normal"/>
    <w:qFormat/>
    <w:locked/>
    <w:rsid w:val="00E64971"/>
    <w:pPr>
      <w:keepNext/>
      <w:spacing w:before="100" w:beforeAutospacing="1" w:after="100" w:afterAutospacing="1"/>
      <w:jc w:val="right"/>
    </w:pPr>
    <w:rPr>
      <w:rFonts w:ascii="Arial" w:eastAsiaTheme="majorEastAsia" w:hAnsi="Arial"/>
      <w:sz w:val="20"/>
      <w:szCs w:val="24"/>
    </w:rPr>
  </w:style>
  <w:style w:type="paragraph" w:customStyle="1" w:styleId="TableCellGeneral">
    <w:name w:val="Table Cell General"/>
    <w:basedOn w:val="Normal"/>
    <w:qFormat/>
    <w:locked/>
    <w:rsid w:val="001B0DA3"/>
    <w:pPr>
      <w:keepNext/>
      <w:keepLines/>
      <w:spacing w:before="100" w:beforeAutospacing="1" w:after="100" w:afterAutospacing="1"/>
    </w:pPr>
    <w:rPr>
      <w:rFonts w:ascii="Arial" w:eastAsia="SimSun" w:hAnsi="Arial"/>
      <w:sz w:val="20"/>
      <w:szCs w:val="24"/>
    </w:rPr>
  </w:style>
  <w:style w:type="paragraph" w:customStyle="1" w:styleId="CaptionTable">
    <w:name w:val="Caption Table"/>
    <w:basedOn w:val="Caption"/>
    <w:next w:val="Normal"/>
    <w:qFormat/>
    <w:locked/>
    <w:rsid w:val="00E64971"/>
    <w:pPr>
      <w:spacing w:before="100" w:beforeAutospacing="1"/>
      <w:ind w:left="1080"/>
    </w:pPr>
    <w:rPr>
      <w:rFonts w:ascii="Arial" w:hAnsi="Arial"/>
      <w:bCs/>
      <w:iCs w:val="0"/>
      <w:sz w:val="22"/>
      <w:lang w:eastAsia="ru-RU"/>
    </w:rPr>
  </w:style>
  <w:style w:type="paragraph" w:customStyle="1" w:styleId="Caption-Table">
    <w:name w:val="Caption - Table"/>
    <w:basedOn w:val="Caption"/>
    <w:qFormat/>
    <w:rsid w:val="001B0DA3"/>
    <w:pPr>
      <w:spacing w:before="240"/>
    </w:pPr>
  </w:style>
  <w:style w:type="paragraph" w:customStyle="1" w:styleId="Caption-Figure">
    <w:name w:val="Caption - Figure"/>
    <w:basedOn w:val="Caption"/>
    <w:next w:val="Normal"/>
    <w:qFormat/>
    <w:rsid w:val="006A4125"/>
    <w:pPr>
      <w:keepNext w:val="0"/>
      <w:spacing w:after="240"/>
    </w:pPr>
  </w:style>
  <w:style w:type="paragraph" w:styleId="Revision">
    <w:name w:val="Revision"/>
    <w:hidden/>
    <w:uiPriority w:val="99"/>
    <w:semiHidden/>
    <w:rsid w:val="000C4812"/>
    <w:rPr>
      <w:sz w:val="24"/>
    </w:rPr>
  </w:style>
  <w:style w:type="paragraph" w:customStyle="1" w:styleId="EndNoteBibliographyTitle">
    <w:name w:val="EndNote Bibliography Title"/>
    <w:basedOn w:val="Normal"/>
    <w:link w:val="EndNoteBibliographyTitleChar"/>
    <w:locked/>
    <w:rsid w:val="00190B42"/>
    <w:pPr>
      <w:jc w:val="center"/>
    </w:pPr>
    <w:rPr>
      <w:noProof/>
    </w:rPr>
  </w:style>
  <w:style w:type="character" w:customStyle="1" w:styleId="TableBodyChar">
    <w:name w:val="Table Body Char"/>
    <w:basedOn w:val="DefaultParagraphFont"/>
    <w:link w:val="TableBody"/>
    <w:rsid w:val="0060484B"/>
  </w:style>
  <w:style w:type="character" w:customStyle="1" w:styleId="EndNoteBibliographyTitleChar">
    <w:name w:val="EndNote Bibliography Title Char"/>
    <w:basedOn w:val="TableBodyChar"/>
    <w:link w:val="EndNoteBibliographyTitle"/>
    <w:rsid w:val="00190B42"/>
    <w:rPr>
      <w:noProof/>
      <w:sz w:val="24"/>
    </w:rPr>
  </w:style>
  <w:style w:type="paragraph" w:customStyle="1" w:styleId="EndNoteBibliography">
    <w:name w:val="EndNote Bibliography"/>
    <w:basedOn w:val="Normal"/>
    <w:link w:val="EndNoteBibliographyChar"/>
    <w:locked/>
    <w:rsid w:val="00570CFB"/>
    <w:rPr>
      <w:noProof/>
    </w:rPr>
  </w:style>
  <w:style w:type="character" w:customStyle="1" w:styleId="EndNoteBibliographyChar">
    <w:name w:val="EndNote Bibliography Char"/>
    <w:basedOn w:val="TableBodyChar"/>
    <w:link w:val="EndNoteBibliography"/>
    <w:rsid w:val="00190B42"/>
    <w:rPr>
      <w:noProof/>
      <w:sz w:val="24"/>
    </w:rPr>
  </w:style>
  <w:style w:type="table" w:customStyle="1" w:styleId="TableGrid0">
    <w:name w:val="TableGrid"/>
    <w:locked/>
    <w:rsid w:val="00F1493D"/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EndnoteReference">
    <w:name w:val="endnote reference"/>
    <w:basedOn w:val="DefaultParagraphFont"/>
    <w:uiPriority w:val="99"/>
    <w:unhideWhenUsed/>
    <w:rsid w:val="001C4B10"/>
    <w:rPr>
      <w:vertAlign w:val="superscript"/>
    </w:rPr>
  </w:style>
  <w:style w:type="paragraph" w:customStyle="1" w:styleId="TableBody-Right">
    <w:name w:val="Table Body - Right"/>
    <w:basedOn w:val="TableBody"/>
    <w:qFormat/>
    <w:rsid w:val="00B34723"/>
    <w:pPr>
      <w:ind w:right="57"/>
      <w:jc w:val="right"/>
    </w:pPr>
  </w:style>
  <w:style w:type="paragraph" w:styleId="FootnoteText">
    <w:name w:val="footnote text"/>
    <w:basedOn w:val="Normal"/>
    <w:link w:val="FootnoteTextChar"/>
    <w:uiPriority w:val="99"/>
    <w:unhideWhenUsed/>
    <w:rsid w:val="002401FC"/>
    <w:rPr>
      <w:sz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2401FC"/>
  </w:style>
  <w:style w:type="paragraph" w:styleId="PlainText">
    <w:name w:val="Plain Text"/>
    <w:basedOn w:val="Normal"/>
    <w:link w:val="PlainTextChar"/>
    <w:uiPriority w:val="99"/>
    <w:unhideWhenUsed/>
    <w:rsid w:val="004B0631"/>
    <w:rPr>
      <w:rFonts w:ascii="Consolas" w:eastAsiaTheme="minorHAnsi" w:hAnsi="Consolas" w:cstheme="minorBidi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4B0631"/>
    <w:rPr>
      <w:rFonts w:ascii="Consolas" w:eastAsiaTheme="minorHAnsi" w:hAnsi="Consolas" w:cstheme="minorBidi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127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2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8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50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14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6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4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9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2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1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8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21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0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2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8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8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31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7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9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16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92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0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9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77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74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0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1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Relationship Id="rId15" Type="http://schemas.openxmlformats.org/officeDocument/2006/relationships/image" Target="media/image2.png"/><Relationship Id="rId16" Type="http://schemas.openxmlformats.org/officeDocument/2006/relationships/image" Target="media/image3.png"/><Relationship Id="rId17" Type="http://schemas.openxmlformats.org/officeDocument/2006/relationships/image" Target="media/image4.png"/><Relationship Id="rId18" Type="http://schemas.openxmlformats.org/officeDocument/2006/relationships/image" Target="media/image5.png"/><Relationship Id="rId19" Type="http://schemas.openxmlformats.org/officeDocument/2006/relationships/image" Target="media/image6.png"/><Relationship Id="rId20" Type="http://schemas.openxmlformats.org/officeDocument/2006/relationships/image" Target="media/image7.png"/><Relationship Id="rId21" Type="http://schemas.openxmlformats.org/officeDocument/2006/relationships/image" Target="media/image8.png"/><Relationship Id="rId22" Type="http://schemas.openxmlformats.org/officeDocument/2006/relationships/image" Target="media/image9.png"/><Relationship Id="rId23" Type="http://schemas.openxmlformats.org/officeDocument/2006/relationships/image" Target="media/image10.png"/><Relationship Id="rId24" Type="http://schemas.openxmlformats.org/officeDocument/2006/relationships/image" Target="media/image11.png"/><Relationship Id="rId25" Type="http://schemas.openxmlformats.org/officeDocument/2006/relationships/image" Target="media/image12.png"/><Relationship Id="rId26" Type="http://schemas.openxmlformats.org/officeDocument/2006/relationships/image" Target="media/image13.png"/><Relationship Id="rId27" Type="http://schemas.openxmlformats.org/officeDocument/2006/relationships/image" Target="media/image14.png"/><Relationship Id="rId28" Type="http://schemas.openxmlformats.org/officeDocument/2006/relationships/image" Target="media/image15.png"/><Relationship Id="rId29" Type="http://schemas.openxmlformats.org/officeDocument/2006/relationships/image" Target="media/image16.png"/><Relationship Id="rId30" Type="http://schemas.openxmlformats.org/officeDocument/2006/relationships/image" Target="media/image17.png"/><Relationship Id="rId31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E47421-A611-4516-A25D-A15A00EAAB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Development and Calibration of Surface Water Models to Support the North Florida/Southeast Georgia (NFSEG v1.1) Groundwater Model</vt:lpstr>
    </vt:vector>
  </TitlesOfParts>
  <Company>SJRWMD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Development and Calibration of Surface Water Models to Support the North Florida/Southeast Georgia (NFSEG v1.1) Groundwater Model</dc:title>
  <dc:subject/>
  <dc:creator>SHALL</dc:creator>
  <cp:keywords/>
  <dc:description/>
  <cp:lastModifiedBy>Tim Cera</cp:lastModifiedBy>
  <cp:revision>5</cp:revision>
  <cp:lastPrinted>2016-08-19T19:44:00Z</cp:lastPrinted>
  <dcterms:created xsi:type="dcterms:W3CDTF">2018-03-26T05:00:00Z</dcterms:created>
  <dcterms:modified xsi:type="dcterms:W3CDTF">2018-03-26T22:48:00Z</dcterms:modified>
</cp:coreProperties>
</file>